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1567"/>
        <w:gridCol w:w="415"/>
        <w:gridCol w:w="1187"/>
        <w:gridCol w:w="252"/>
        <w:gridCol w:w="1458"/>
        <w:gridCol w:w="1619"/>
        <w:gridCol w:w="119"/>
        <w:gridCol w:w="2564"/>
      </w:tblGrid>
      <w:tr w:rsidR="00505FC4" w:rsidRPr="00752727" w:rsidTr="0072678C">
        <w:trPr>
          <w:trHeight w:val="723"/>
        </w:trPr>
        <w:tc>
          <w:tcPr>
            <w:tcW w:w="3416"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9"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8E0F8D"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March 22</w:t>
            </w:r>
            <w:r w:rsidR="002A5C8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682DF9">
        <w:trPr>
          <w:trHeight w:val="1430"/>
        </w:trPr>
        <w:tc>
          <w:tcPr>
            <w:tcW w:w="3416"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6B45A5" w:rsidRPr="00A47FD0" w:rsidRDefault="002E4B33" w:rsidP="006B45A5">
            <w:pPr>
              <w:spacing w:line="240" w:lineRule="auto"/>
              <w:contextualSpacing/>
              <w:rPr>
                <w:rFonts w:ascii="Palatino Linotype" w:hAnsi="Palatino Linotype"/>
                <w:b/>
                <w:sz w:val="20"/>
                <w:szCs w:val="20"/>
                <w:u w:val="single"/>
              </w:rPr>
            </w:pPr>
            <w:hyperlink w:anchor="PPHDARG" w:history="1">
              <w:r w:rsidR="006B45A5" w:rsidRPr="00E9169C">
                <w:rPr>
                  <w:rStyle w:val="Hyperlink"/>
                  <w:rFonts w:ascii="Palatino Linotype" w:hAnsi="Palatino Linotype"/>
                  <w:b/>
                  <w:sz w:val="20"/>
                  <w:szCs w:val="20"/>
                </w:rPr>
                <w:t xml:space="preserve">-Post-Ph.D. Anthropology Research Grants </w:t>
              </w:r>
              <w:r w:rsidR="006B45A5" w:rsidRPr="00E9169C">
                <w:rPr>
                  <w:rStyle w:val="Hyperlink"/>
                  <w:rFonts w:ascii="Palatino Linotype" w:hAnsi="Palatino Linotype"/>
                  <w:b/>
                  <w:i/>
                  <w:sz w:val="20"/>
                  <w:szCs w:val="20"/>
                </w:rPr>
                <w:t>(Wenner-Gren Foundation)</w:t>
              </w:r>
            </w:hyperlink>
          </w:p>
          <w:p w:rsidR="006B45A5" w:rsidRPr="00A47FD0" w:rsidRDefault="002E4B33" w:rsidP="006B45A5">
            <w:pPr>
              <w:pStyle w:val="NormalWeb"/>
              <w:shd w:val="clear" w:color="auto" w:fill="FFFFFF"/>
              <w:spacing w:before="0" w:beforeAutospacing="0" w:after="0" w:afterAutospacing="0"/>
              <w:rPr>
                <w:rFonts w:ascii="Palatino Linotype" w:hAnsi="Palatino Linotype" w:cs="Arial"/>
                <w:b/>
                <w:sz w:val="20"/>
                <w:szCs w:val="20"/>
                <w:u w:val="single"/>
              </w:rPr>
            </w:pPr>
            <w:hyperlink w:anchor="IIREFV" w:history="1">
              <w:r w:rsidR="006B45A5" w:rsidRPr="00E9169C">
                <w:rPr>
                  <w:rStyle w:val="Hyperlink"/>
                  <w:rFonts w:ascii="Palatino Linotype" w:hAnsi="Palatino Linotype" w:cs="Arial"/>
                  <w:b/>
                  <w:sz w:val="20"/>
                  <w:szCs w:val="20"/>
                </w:rPr>
                <w:t xml:space="preserve">-Investigator-Initiated Research and Evaluation on Firearms Violence </w:t>
              </w:r>
              <w:r w:rsidR="006B45A5" w:rsidRPr="00E9169C">
                <w:rPr>
                  <w:rStyle w:val="Hyperlink"/>
                  <w:rFonts w:ascii="Palatino Linotype" w:hAnsi="Palatino Linotype" w:cs="Arial"/>
                  <w:b/>
                  <w:i/>
                  <w:sz w:val="20"/>
                  <w:szCs w:val="20"/>
                </w:rPr>
                <w:t>(Justice)</w:t>
              </w:r>
            </w:hyperlink>
          </w:p>
          <w:p w:rsidR="006B45A5" w:rsidRPr="002B69B8" w:rsidRDefault="006B45A5" w:rsidP="006B45A5">
            <w:pPr>
              <w:spacing w:line="240" w:lineRule="auto"/>
              <w:contextualSpacing/>
              <w:rPr>
                <w:rFonts w:ascii="Palatino Linotype" w:hAnsi="Palatino Linotype"/>
                <w:sz w:val="20"/>
                <w:szCs w:val="20"/>
              </w:rPr>
            </w:pPr>
          </w:p>
          <w:p w:rsidR="006B45A5" w:rsidRPr="00A47FD0" w:rsidRDefault="002E4B33" w:rsidP="006B45A5">
            <w:pPr>
              <w:spacing w:line="240" w:lineRule="auto"/>
              <w:contextualSpacing/>
              <w:rPr>
                <w:rFonts w:ascii="Palatino Linotype" w:hAnsi="Palatino Linotype"/>
                <w:b/>
                <w:sz w:val="20"/>
                <w:szCs w:val="20"/>
                <w:u w:val="single"/>
              </w:rPr>
            </w:pPr>
            <w:hyperlink w:anchor="RETISS" w:history="1">
              <w:r w:rsidR="006B45A5" w:rsidRPr="00E9169C">
                <w:rPr>
                  <w:rStyle w:val="Hyperlink"/>
                  <w:rFonts w:ascii="Palatino Linotype" w:hAnsi="Palatino Linotype"/>
                  <w:b/>
                  <w:sz w:val="20"/>
                  <w:szCs w:val="20"/>
                </w:rPr>
                <w:t>-</w:t>
              </w:r>
              <w:r w:rsidR="00E9169C">
                <w:rPr>
                  <w:rStyle w:val="Hyperlink"/>
                  <w:rFonts w:ascii="Palatino Linotype" w:hAnsi="Palatino Linotype"/>
                  <w:b/>
                  <w:sz w:val="20"/>
                  <w:szCs w:val="20"/>
                </w:rPr>
                <w:t>Research and E</w:t>
              </w:r>
              <w:r w:rsidR="006B45A5" w:rsidRPr="00E9169C">
                <w:rPr>
                  <w:rStyle w:val="Hyperlink"/>
                  <w:rFonts w:ascii="Palatino Linotype" w:hAnsi="Palatino Linotype"/>
                  <w:b/>
                  <w:sz w:val="20"/>
                  <w:szCs w:val="20"/>
                </w:rPr>
                <w:t xml:space="preserve">valuation of Technologies to Improve School Safety </w:t>
              </w:r>
              <w:r w:rsidR="006B45A5" w:rsidRPr="00E9169C">
                <w:rPr>
                  <w:rStyle w:val="Hyperlink"/>
                  <w:rFonts w:ascii="Palatino Linotype" w:hAnsi="Palatino Linotype"/>
                  <w:b/>
                  <w:i/>
                  <w:sz w:val="20"/>
                  <w:szCs w:val="20"/>
                </w:rPr>
                <w:t xml:space="preserve"> (Justice)</w:t>
              </w:r>
            </w:hyperlink>
          </w:p>
          <w:p w:rsidR="006B45A5" w:rsidRPr="002B69B8" w:rsidRDefault="006B45A5" w:rsidP="006B45A5">
            <w:pPr>
              <w:spacing w:line="240" w:lineRule="auto"/>
              <w:contextualSpacing/>
              <w:rPr>
                <w:rFonts w:ascii="Palatino Linotype" w:hAnsi="Palatino Linotype"/>
                <w:sz w:val="20"/>
                <w:szCs w:val="20"/>
              </w:rPr>
            </w:pPr>
          </w:p>
          <w:p w:rsidR="006B45A5" w:rsidRPr="00A47FD0" w:rsidRDefault="002E4B33" w:rsidP="006B45A5">
            <w:pPr>
              <w:spacing w:after="0" w:line="240" w:lineRule="auto"/>
              <w:contextualSpacing/>
              <w:rPr>
                <w:rFonts w:ascii="Palatino Linotype" w:hAnsi="Palatino Linotype"/>
                <w:b/>
                <w:sz w:val="20"/>
                <w:szCs w:val="20"/>
                <w:u w:val="single"/>
              </w:rPr>
            </w:pPr>
            <w:hyperlink w:anchor="RG" w:history="1">
              <w:r w:rsidR="006B45A5" w:rsidRPr="00E9169C">
                <w:rPr>
                  <w:rStyle w:val="Hyperlink"/>
                  <w:rFonts w:ascii="Palatino Linotype" w:hAnsi="Palatino Linotype"/>
                  <w:b/>
                  <w:sz w:val="20"/>
                  <w:szCs w:val="20"/>
                </w:rPr>
                <w:t xml:space="preserve">-Research Grants </w:t>
              </w:r>
              <w:r w:rsidR="006B45A5" w:rsidRPr="00E9169C">
                <w:rPr>
                  <w:rStyle w:val="Hyperlink"/>
                  <w:rFonts w:ascii="Palatino Linotype" w:hAnsi="Palatino Linotype"/>
                  <w:b/>
                  <w:i/>
                  <w:sz w:val="20"/>
                  <w:szCs w:val="20"/>
                </w:rPr>
                <w:t>(William T. Grant Foundation)</w:t>
              </w:r>
            </w:hyperlink>
          </w:p>
          <w:p w:rsidR="006B45A5" w:rsidRPr="002B69B8" w:rsidRDefault="006B45A5" w:rsidP="006B45A5">
            <w:pPr>
              <w:spacing w:after="0" w:line="240" w:lineRule="auto"/>
              <w:contextualSpacing/>
              <w:rPr>
                <w:rFonts w:ascii="Palatino Linotype" w:hAnsi="Palatino Linotype"/>
                <w:sz w:val="20"/>
                <w:szCs w:val="20"/>
              </w:rPr>
            </w:pPr>
          </w:p>
          <w:p w:rsidR="006B45A5" w:rsidRPr="00A47FD0" w:rsidRDefault="002E4B33" w:rsidP="006B45A5">
            <w:pPr>
              <w:spacing w:line="240" w:lineRule="auto"/>
              <w:contextualSpacing/>
              <w:rPr>
                <w:rFonts w:ascii="Palatino Linotype" w:hAnsi="Palatino Linotype"/>
                <w:b/>
                <w:sz w:val="20"/>
                <w:szCs w:val="20"/>
                <w:u w:val="single"/>
              </w:rPr>
            </w:pPr>
            <w:hyperlink w:anchor="HRICGP" w:history="1">
              <w:r w:rsidR="006B45A5" w:rsidRPr="00E9169C">
                <w:rPr>
                  <w:rStyle w:val="Hyperlink"/>
                  <w:rFonts w:ascii="Palatino Linotype" w:hAnsi="Palatino Linotype"/>
                  <w:b/>
                  <w:sz w:val="20"/>
                  <w:szCs w:val="20"/>
                </w:rPr>
                <w:t xml:space="preserve">-HRI Competitive Grants Program </w:t>
              </w:r>
              <w:r w:rsidR="006B45A5" w:rsidRPr="00E9169C">
                <w:rPr>
                  <w:rStyle w:val="Hyperlink"/>
                  <w:rFonts w:ascii="Palatino Linotype" w:hAnsi="Palatino Linotype"/>
                  <w:b/>
                  <w:i/>
                  <w:sz w:val="20"/>
                  <w:szCs w:val="20"/>
                </w:rPr>
                <w:t>(Horticulture Research Institute)</w:t>
              </w:r>
            </w:hyperlink>
          </w:p>
          <w:p w:rsidR="006B45A5" w:rsidRPr="002B69B8" w:rsidRDefault="006B45A5" w:rsidP="006B45A5">
            <w:pPr>
              <w:spacing w:line="240" w:lineRule="auto"/>
              <w:contextualSpacing/>
              <w:rPr>
                <w:rFonts w:ascii="Palatino Linotype" w:hAnsi="Palatino Linotype"/>
                <w:sz w:val="20"/>
                <w:szCs w:val="20"/>
              </w:rPr>
            </w:pPr>
          </w:p>
          <w:p w:rsidR="006B45A5" w:rsidRPr="00A47FD0" w:rsidRDefault="002E4B33" w:rsidP="006B45A5">
            <w:pPr>
              <w:spacing w:line="240" w:lineRule="auto"/>
              <w:contextualSpacing/>
              <w:rPr>
                <w:rFonts w:ascii="Palatino Linotype" w:hAnsi="Palatino Linotype"/>
                <w:b/>
                <w:sz w:val="20"/>
                <w:szCs w:val="20"/>
                <w:u w:val="single"/>
              </w:rPr>
            </w:pPr>
            <w:hyperlink w:anchor="NEAFG" w:history="1">
              <w:r w:rsidR="006B45A5" w:rsidRPr="00E9169C">
                <w:rPr>
                  <w:rStyle w:val="Hyperlink"/>
                  <w:rFonts w:ascii="Palatino Linotype" w:hAnsi="Palatino Linotype"/>
                  <w:b/>
                  <w:sz w:val="20"/>
                  <w:szCs w:val="20"/>
                </w:rPr>
                <w:t>-</w:t>
              </w:r>
              <w:r w:rsidR="00E9169C" w:rsidRPr="00E9169C">
                <w:rPr>
                  <w:rStyle w:val="Hyperlink"/>
                  <w:rFonts w:ascii="Palatino Linotype" w:hAnsi="Palatino Linotype"/>
                  <w:b/>
                  <w:sz w:val="20"/>
                  <w:szCs w:val="20"/>
                </w:rPr>
                <w:t>NEA F</w:t>
              </w:r>
              <w:r w:rsidR="006B45A5" w:rsidRPr="00E9169C">
                <w:rPr>
                  <w:rStyle w:val="Hyperlink"/>
                  <w:rFonts w:ascii="Palatino Linotype" w:hAnsi="Palatino Linotype"/>
                  <w:b/>
                  <w:sz w:val="20"/>
                  <w:szCs w:val="20"/>
                </w:rPr>
                <w:t xml:space="preserve">oundation Grants </w:t>
              </w:r>
              <w:r w:rsidR="006B45A5" w:rsidRPr="00E9169C">
                <w:rPr>
                  <w:rStyle w:val="Hyperlink"/>
                  <w:rFonts w:ascii="Palatino Linotype" w:hAnsi="Palatino Linotype"/>
                  <w:b/>
                  <w:i/>
                  <w:sz w:val="20"/>
                  <w:szCs w:val="20"/>
                </w:rPr>
                <w:t>(National Education Association Foundation)</w:t>
              </w:r>
            </w:hyperlink>
          </w:p>
          <w:p w:rsidR="006B45A5" w:rsidRPr="00A47FD0" w:rsidRDefault="002E4B33" w:rsidP="006B45A5">
            <w:pPr>
              <w:pStyle w:val="NormalWeb"/>
              <w:shd w:val="clear" w:color="auto" w:fill="FFFFFF"/>
              <w:spacing w:before="0" w:beforeAutospacing="0" w:after="0" w:afterAutospacing="0"/>
              <w:contextualSpacing/>
              <w:rPr>
                <w:rFonts w:ascii="Palatino Linotype" w:hAnsi="Palatino Linotype"/>
                <w:b/>
                <w:sz w:val="20"/>
                <w:szCs w:val="20"/>
                <w:u w:val="single"/>
              </w:rPr>
            </w:pPr>
            <w:hyperlink w:anchor="SREEP" w:history="1">
              <w:r w:rsidR="006B45A5" w:rsidRPr="00E9169C">
                <w:rPr>
                  <w:rStyle w:val="Hyperlink"/>
                  <w:rFonts w:ascii="Palatino Linotype" w:hAnsi="Palatino Linotype"/>
                  <w:b/>
                  <w:sz w:val="20"/>
                  <w:szCs w:val="20"/>
                </w:rPr>
                <w:t>-Summer Research Education Experience Programs</w:t>
              </w:r>
              <w:r w:rsidR="006B45A5" w:rsidRPr="00E9169C">
                <w:rPr>
                  <w:rStyle w:val="Hyperlink"/>
                  <w:rFonts w:ascii="Palatino Linotype" w:hAnsi="Palatino Linotype"/>
                  <w:b/>
                  <w:i/>
                  <w:sz w:val="20"/>
                  <w:szCs w:val="20"/>
                </w:rPr>
                <w:t xml:space="preserve"> (NIH)</w:t>
              </w:r>
            </w:hyperlink>
          </w:p>
          <w:p w:rsidR="006B45A5" w:rsidRPr="002B69B8" w:rsidRDefault="006B45A5" w:rsidP="006B45A5">
            <w:pPr>
              <w:spacing w:line="240" w:lineRule="auto"/>
              <w:contextualSpacing/>
              <w:rPr>
                <w:rFonts w:ascii="Palatino Linotype" w:hAnsi="Palatino Linotype"/>
                <w:sz w:val="20"/>
                <w:szCs w:val="20"/>
              </w:rPr>
            </w:pPr>
          </w:p>
          <w:p w:rsidR="006B45A5" w:rsidRPr="00A47FD0" w:rsidRDefault="002E4B33" w:rsidP="006B45A5">
            <w:pPr>
              <w:spacing w:after="0" w:line="240" w:lineRule="auto"/>
              <w:contextualSpacing/>
              <w:rPr>
                <w:rFonts w:ascii="Palatino Linotype" w:hAnsi="Palatino Linotype"/>
                <w:b/>
                <w:sz w:val="20"/>
                <w:szCs w:val="20"/>
                <w:u w:val="single"/>
              </w:rPr>
            </w:pPr>
            <w:hyperlink w:anchor="HSGMP" w:history="1">
              <w:r w:rsidR="006B45A5" w:rsidRPr="00E9169C">
                <w:rPr>
                  <w:rStyle w:val="Hyperlink"/>
                  <w:rFonts w:ascii="Palatino Linotype" w:hAnsi="Palatino Linotype"/>
                  <w:b/>
                  <w:sz w:val="20"/>
                  <w:szCs w:val="20"/>
                </w:rPr>
                <w:t>-The Health of Sexual and Gender Minority (SGM) Populations</w:t>
              </w:r>
              <w:r w:rsidR="006B45A5" w:rsidRPr="00E9169C">
                <w:rPr>
                  <w:rStyle w:val="Hyperlink"/>
                  <w:rFonts w:ascii="Palatino Linotype" w:hAnsi="Palatino Linotype"/>
                  <w:b/>
                  <w:i/>
                  <w:sz w:val="20"/>
                  <w:szCs w:val="20"/>
                </w:rPr>
                <w:t xml:space="preserve"> (NIH)</w:t>
              </w:r>
            </w:hyperlink>
          </w:p>
          <w:p w:rsidR="006B45A5" w:rsidRDefault="006B45A5" w:rsidP="006B45A5">
            <w:pPr>
              <w:spacing w:after="0" w:line="240" w:lineRule="auto"/>
              <w:contextualSpacing/>
              <w:rPr>
                <w:rFonts w:ascii="Palatino Linotype" w:hAnsi="Palatino Linotype" w:cs="Arial"/>
                <w:color w:val="333333"/>
                <w:sz w:val="20"/>
                <w:szCs w:val="20"/>
              </w:rPr>
            </w:pPr>
          </w:p>
          <w:p w:rsidR="006B45A5" w:rsidRPr="00A47FD0" w:rsidRDefault="002E4B33" w:rsidP="006B45A5">
            <w:pPr>
              <w:spacing w:line="240" w:lineRule="auto"/>
              <w:contextualSpacing/>
              <w:rPr>
                <w:rFonts w:ascii="Palatino Linotype" w:hAnsi="Palatino Linotype"/>
                <w:b/>
                <w:sz w:val="20"/>
                <w:szCs w:val="20"/>
                <w:u w:val="single"/>
              </w:rPr>
            </w:pPr>
            <w:hyperlink w:anchor="AWGP" w:history="1">
              <w:r w:rsidR="006B45A5" w:rsidRPr="00E9169C">
                <w:rPr>
                  <w:rStyle w:val="Hyperlink"/>
                  <w:rFonts w:ascii="Palatino Linotype" w:hAnsi="Palatino Linotype"/>
                  <w:b/>
                  <w:sz w:val="20"/>
                  <w:szCs w:val="20"/>
                </w:rPr>
                <w:t xml:space="preserve">-Arts Writers Grant Program </w:t>
              </w:r>
              <w:r w:rsidR="006B45A5" w:rsidRPr="00E9169C">
                <w:rPr>
                  <w:rStyle w:val="Hyperlink"/>
                  <w:rFonts w:ascii="Palatino Linotype" w:hAnsi="Palatino Linotype"/>
                  <w:b/>
                  <w:i/>
                  <w:sz w:val="20"/>
                  <w:szCs w:val="20"/>
                </w:rPr>
                <w:t>(Andy Warhol Foundation for the Visual Arts)</w:t>
              </w:r>
            </w:hyperlink>
          </w:p>
          <w:p w:rsidR="006B45A5" w:rsidRPr="002B69B8" w:rsidRDefault="006B45A5" w:rsidP="006B45A5">
            <w:pPr>
              <w:spacing w:after="0" w:line="240" w:lineRule="auto"/>
              <w:contextualSpacing/>
              <w:rPr>
                <w:rFonts w:ascii="Palatino Linotype" w:hAnsi="Palatino Linotype" w:cs="Arial"/>
                <w:color w:val="333333"/>
                <w:sz w:val="20"/>
                <w:szCs w:val="20"/>
              </w:rPr>
            </w:pPr>
          </w:p>
          <w:p w:rsidR="006B45A5" w:rsidRPr="00A47FD0" w:rsidRDefault="002E4B33" w:rsidP="006B45A5">
            <w:pPr>
              <w:shd w:val="clear" w:color="auto" w:fill="FFFFFF"/>
              <w:spacing w:after="0" w:line="240" w:lineRule="auto"/>
              <w:rPr>
                <w:rFonts w:ascii="Palatino Linotype" w:hAnsi="Palatino Linotype"/>
                <w:b/>
                <w:sz w:val="20"/>
                <w:szCs w:val="20"/>
                <w:u w:val="single"/>
              </w:rPr>
            </w:pPr>
            <w:hyperlink w:anchor="GP" w:history="1">
              <w:r w:rsidR="006B45A5" w:rsidRPr="00E9169C">
                <w:rPr>
                  <w:rStyle w:val="Hyperlink"/>
                  <w:rFonts w:ascii="Palatino Linotype" w:hAnsi="Palatino Linotype"/>
                  <w:b/>
                  <w:sz w:val="20"/>
                  <w:szCs w:val="20"/>
                </w:rPr>
                <w:t xml:space="preserve">-Grants Program </w:t>
              </w:r>
              <w:r w:rsidR="006B45A5" w:rsidRPr="00E9169C">
                <w:rPr>
                  <w:rStyle w:val="Hyperlink"/>
                  <w:rFonts w:ascii="Palatino Linotype" w:hAnsi="Palatino Linotype"/>
                  <w:b/>
                  <w:i/>
                  <w:sz w:val="20"/>
                  <w:szCs w:val="20"/>
                </w:rPr>
                <w:t>(Ethics and Excellence in Journalism Foundation)</w:t>
              </w:r>
            </w:hyperlink>
          </w:p>
          <w:p w:rsidR="006B45A5" w:rsidRPr="002B69B8" w:rsidRDefault="006B45A5" w:rsidP="006B45A5">
            <w:pPr>
              <w:spacing w:after="0" w:line="240" w:lineRule="auto"/>
              <w:contextualSpacing/>
              <w:rPr>
                <w:rFonts w:ascii="Palatino Linotype" w:hAnsi="Palatino Linotype"/>
                <w:sz w:val="20"/>
                <w:szCs w:val="20"/>
              </w:rPr>
            </w:pPr>
          </w:p>
          <w:p w:rsidR="006B45A5" w:rsidRPr="00A47FD0" w:rsidRDefault="002E4B33" w:rsidP="006B45A5">
            <w:pPr>
              <w:shd w:val="clear" w:color="auto" w:fill="FFFFFF"/>
              <w:spacing w:after="0" w:line="240" w:lineRule="auto"/>
              <w:contextualSpacing/>
              <w:rPr>
                <w:rFonts w:ascii="Palatino Linotype" w:hAnsi="Palatino Linotype" w:cs="Arial"/>
                <w:b/>
                <w:sz w:val="20"/>
                <w:szCs w:val="20"/>
                <w:u w:val="single"/>
              </w:rPr>
            </w:pPr>
            <w:hyperlink w:anchor="NUCFCCSGP" w:history="1">
              <w:r w:rsidR="006B45A5" w:rsidRPr="00E9169C">
                <w:rPr>
                  <w:rStyle w:val="Hyperlink"/>
                  <w:rFonts w:ascii="Palatino Linotype" w:hAnsi="Palatino Linotype" w:cs="Arial"/>
                  <w:b/>
                  <w:sz w:val="20"/>
                  <w:szCs w:val="20"/>
                </w:rPr>
                <w:t>-</w:t>
              </w:r>
              <w:r w:rsidR="00E9169C" w:rsidRPr="00E9169C">
                <w:rPr>
                  <w:rStyle w:val="Hyperlink"/>
                  <w:rFonts w:ascii="Palatino Linotype" w:hAnsi="Palatino Linotype" w:cs="Arial"/>
                  <w:b/>
                  <w:sz w:val="20"/>
                  <w:szCs w:val="20"/>
                </w:rPr>
                <w:t>National Urban and C</w:t>
              </w:r>
              <w:r w:rsidR="006B45A5" w:rsidRPr="00E9169C">
                <w:rPr>
                  <w:rStyle w:val="Hyperlink"/>
                  <w:rFonts w:ascii="Palatino Linotype" w:hAnsi="Palatino Linotype" w:cs="Arial"/>
                  <w:b/>
                  <w:sz w:val="20"/>
                  <w:szCs w:val="20"/>
                </w:rPr>
                <w:t xml:space="preserve">ommunity Forestry Challenge Cost Share </w:t>
              </w:r>
              <w:r w:rsidR="006B45A5" w:rsidRPr="00E9169C">
                <w:rPr>
                  <w:rStyle w:val="Hyperlink"/>
                  <w:rFonts w:ascii="Palatino Linotype" w:hAnsi="Palatino Linotype" w:cs="Arial"/>
                  <w:b/>
                  <w:sz w:val="20"/>
                  <w:szCs w:val="20"/>
                </w:rPr>
                <w:lastRenderedPageBreak/>
                <w:t xml:space="preserve">Grant Program </w:t>
              </w:r>
              <w:r w:rsidR="006B45A5" w:rsidRPr="00E9169C">
                <w:rPr>
                  <w:rStyle w:val="Hyperlink"/>
                  <w:rFonts w:ascii="Palatino Linotype" w:hAnsi="Palatino Linotype" w:cs="Arial"/>
                  <w:b/>
                  <w:i/>
                  <w:sz w:val="20"/>
                  <w:szCs w:val="20"/>
                </w:rPr>
                <w:t>(U.S. Department of Agriculture)</w:t>
              </w:r>
            </w:hyperlink>
          </w:p>
          <w:p w:rsidR="006B45A5" w:rsidRDefault="006B45A5" w:rsidP="008F23DE">
            <w:pPr>
              <w:spacing w:line="360" w:lineRule="auto"/>
            </w:pPr>
          </w:p>
          <w:p w:rsidR="00A15DED" w:rsidRPr="00DF4926" w:rsidRDefault="002E4B33" w:rsidP="00B118AA">
            <w:pPr>
              <w:spacing w:line="360" w:lineRule="auto"/>
              <w:rPr>
                <w:sz w:val="24"/>
                <w:szCs w:val="24"/>
              </w:rPr>
            </w:pPr>
            <w:hyperlink w:anchor="awards" w:history="1">
              <w:r w:rsidR="00B118AA">
                <w:rPr>
                  <w:rStyle w:val="Hyperlink"/>
                  <w:rFonts w:ascii="Palatino Linotype" w:hAnsi="Palatino Linotype"/>
                  <w:b/>
                  <w:sz w:val="24"/>
                  <w:szCs w:val="24"/>
                </w:rPr>
                <w:t xml:space="preserve">***Awards and </w:t>
              </w:r>
              <w:r w:rsidR="00A15DED" w:rsidRPr="00DF4926">
                <w:rPr>
                  <w:rStyle w:val="Hyperlink"/>
                  <w:rFonts w:ascii="Palatino Linotype" w:hAnsi="Palatino Linotype"/>
                  <w:b/>
                  <w:sz w:val="24"/>
                  <w:szCs w:val="24"/>
                </w:rPr>
                <w:t>Proposals***</w:t>
              </w:r>
            </w:hyperlink>
          </w:p>
        </w:tc>
        <w:tc>
          <w:tcPr>
            <w:tcW w:w="7199" w:type="dxa"/>
            <w:gridSpan w:val="6"/>
            <w:shd w:val="clear" w:color="auto" w:fill="auto"/>
          </w:tcPr>
          <w:p w:rsidR="00EA011A" w:rsidRPr="00183323" w:rsidRDefault="00E466AD" w:rsidP="002E4B33">
            <w:pPr>
              <w:spacing w:before="240"/>
              <w:ind w:left="144"/>
              <w:rPr>
                <w:rFonts w:ascii="Palatino Linotype" w:hAnsi="Palatino Linotype"/>
                <w:color w:val="00B0F0"/>
                <w:sz w:val="20"/>
                <w:szCs w:val="20"/>
                <w:u w:val="single"/>
              </w:rPr>
            </w:pPr>
            <w:r w:rsidRPr="00183323">
              <w:rPr>
                <w:rFonts w:ascii="Palatino Linotype" w:hAnsi="Palatino Linotype" w:cs="Helvetica"/>
                <w:b/>
                <w:color w:val="00B0F0"/>
                <w:sz w:val="32"/>
                <w:szCs w:val="32"/>
                <w:u w:val="single"/>
              </w:rPr>
              <w:lastRenderedPageBreak/>
              <w:t>EXPLORATIONS 2018</w:t>
            </w:r>
          </w:p>
          <w:p w:rsidR="009C17EE" w:rsidRPr="00A34599" w:rsidRDefault="002E4B33" w:rsidP="002E4B33">
            <w:pPr>
              <w:spacing w:after="120" w:line="240" w:lineRule="auto"/>
              <w:ind w:left="144"/>
              <w:rPr>
                <w:rFonts w:ascii="Palatino Linotype" w:hAnsi="Palatino Linotype"/>
                <w:szCs w:val="20"/>
              </w:rPr>
            </w:pPr>
            <w:r w:rsidRPr="00F93D27">
              <w:rPr>
                <w:noProof/>
              </w:rPr>
              <w:drawing>
                <wp:anchor distT="0" distB="0" distL="114300" distR="114300" simplePos="0" relativeHeight="251660288" behindDoc="1" locked="0" layoutInCell="1" allowOverlap="1">
                  <wp:simplePos x="0" y="0"/>
                  <wp:positionH relativeFrom="column">
                    <wp:posOffset>1360805</wp:posOffset>
                  </wp:positionH>
                  <wp:positionV relativeFrom="paragraph">
                    <wp:posOffset>107315</wp:posOffset>
                  </wp:positionV>
                  <wp:extent cx="3123565" cy="1543050"/>
                  <wp:effectExtent l="0" t="0" r="635" b="0"/>
                  <wp:wrapTight wrapText="bothSides">
                    <wp:wrapPolygon edited="0">
                      <wp:start x="0" y="0"/>
                      <wp:lineTo x="0" y="21333"/>
                      <wp:lineTo x="21473" y="21333"/>
                      <wp:lineTo x="214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356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7EE" w:rsidRPr="00A34599">
              <w:rPr>
                <w:rFonts w:ascii="Palatino Linotype" w:hAnsi="Palatino Linotype"/>
                <w:szCs w:val="20"/>
              </w:rPr>
              <w:t>During the month of April, William Paterson University w</w:t>
            </w:r>
            <w:r w:rsidR="009C17EE">
              <w:rPr>
                <w:rFonts w:ascii="Palatino Linotype" w:hAnsi="Palatino Linotype"/>
                <w:szCs w:val="20"/>
              </w:rPr>
              <w:t>ill be holding EXPLORATIONS 2018</w:t>
            </w:r>
            <w:r w:rsidR="009C17EE" w:rsidRPr="00A34599">
              <w:rPr>
                <w:rFonts w:ascii="Palatino Linotype" w:hAnsi="Palatino Linotype"/>
                <w:szCs w:val="20"/>
              </w:rPr>
              <w:t xml:space="preserve">. There will be many opportunities throughout the month to attend events that highlight research, scholarship, and creative expression (RSCE) that members of the WP community have been working on for the last year. Events are scheduled for a wide-variety of disciplines and range from poster sessions, lectures, presentations and more. So whether you see what is happening in your own field or you are interested in seeing what is happening in other areas of study, there are many opportunities to do so. </w:t>
            </w:r>
          </w:p>
          <w:p w:rsidR="009C17EE" w:rsidRDefault="009C17EE" w:rsidP="002E4B33">
            <w:pPr>
              <w:spacing w:after="120" w:line="240" w:lineRule="auto"/>
              <w:ind w:left="144"/>
              <w:rPr>
                <w:rFonts w:ascii="Palatino Linotype" w:hAnsi="Palatino Linotype"/>
                <w:szCs w:val="20"/>
              </w:rPr>
            </w:pPr>
            <w:r w:rsidRPr="00A34599">
              <w:rPr>
                <w:rFonts w:ascii="Palatino Linotype" w:hAnsi="Palatino Linotype"/>
                <w:szCs w:val="20"/>
              </w:rPr>
              <w:t>Attending the events is a great way to support RSCE activities that students and faculty have been conducting. Getting your students involved is a great way of</w:t>
            </w:r>
            <w:bookmarkStart w:id="0" w:name="_GoBack"/>
            <w:bookmarkEnd w:id="0"/>
            <w:r w:rsidRPr="00A34599">
              <w:rPr>
                <w:rFonts w:ascii="Palatino Linotype" w:hAnsi="Palatino Linotype"/>
                <w:szCs w:val="20"/>
              </w:rPr>
              <w:t xml:space="preserve"> exposing them to what people are currently working on and inspiring them to do their own work. By encouraging students to attend EXPLORATIONS events</w:t>
            </w:r>
            <w:r>
              <w:rPr>
                <w:rFonts w:ascii="Palatino Linotype" w:hAnsi="Palatino Linotype"/>
                <w:szCs w:val="20"/>
              </w:rPr>
              <w:t>, you will support them in thinking about RSCE and how they can become involved</w:t>
            </w:r>
            <w:r w:rsidRPr="00A34599">
              <w:rPr>
                <w:rFonts w:ascii="Palatino Linotype" w:hAnsi="Palatino Linotype"/>
                <w:szCs w:val="20"/>
              </w:rPr>
              <w:t xml:space="preserve">. You might also get some ideas about possible partnerships or interdisciplinary collaborations with other faculty on campus. </w:t>
            </w:r>
            <w:r>
              <w:rPr>
                <w:rFonts w:ascii="Palatino Linotype" w:hAnsi="Palatino Linotype"/>
                <w:szCs w:val="20"/>
              </w:rPr>
              <w:t xml:space="preserve"> </w:t>
            </w:r>
          </w:p>
          <w:p w:rsidR="009C17EE" w:rsidRDefault="009C17EE" w:rsidP="002E4B33">
            <w:pPr>
              <w:spacing w:line="240" w:lineRule="auto"/>
              <w:ind w:left="144"/>
              <w:contextualSpacing/>
              <w:rPr>
                <w:rFonts w:ascii="Palatino Linotype" w:hAnsi="Palatino Linotype"/>
              </w:rPr>
            </w:pPr>
            <w:r w:rsidRPr="00A34599">
              <w:rPr>
                <w:rFonts w:ascii="Palatino Linotype" w:hAnsi="Palatino Linotype"/>
                <w:szCs w:val="20"/>
              </w:rPr>
              <w:t xml:space="preserve">Events </w:t>
            </w:r>
            <w:r>
              <w:rPr>
                <w:rFonts w:ascii="Palatino Linotype" w:hAnsi="Palatino Linotype"/>
                <w:szCs w:val="20"/>
              </w:rPr>
              <w:t xml:space="preserve">will </w:t>
            </w:r>
            <w:r w:rsidRPr="00A34599">
              <w:rPr>
                <w:rFonts w:ascii="Palatino Linotype" w:hAnsi="Palatino Linotype"/>
                <w:szCs w:val="20"/>
              </w:rPr>
              <w:t xml:space="preserve">begin </w:t>
            </w:r>
            <w:r>
              <w:rPr>
                <w:rFonts w:ascii="Palatino Linotype" w:hAnsi="Palatino Linotype"/>
                <w:szCs w:val="20"/>
              </w:rPr>
              <w:t>in early</w:t>
            </w:r>
            <w:r w:rsidRPr="00A34599">
              <w:rPr>
                <w:rFonts w:ascii="Palatino Linotype" w:hAnsi="Palatino Linotype"/>
                <w:szCs w:val="20"/>
              </w:rPr>
              <w:t xml:space="preserve"> April with Student and Faculty Poster Sessions</w:t>
            </w:r>
            <w:r>
              <w:rPr>
                <w:rFonts w:ascii="Palatino Linotype" w:hAnsi="Palatino Linotype"/>
                <w:szCs w:val="20"/>
              </w:rPr>
              <w:t xml:space="preserve">, </w:t>
            </w:r>
            <w:r w:rsidRPr="00A34599">
              <w:rPr>
                <w:rFonts w:ascii="Palatino Linotype" w:hAnsi="Palatino Linotype"/>
                <w:szCs w:val="20"/>
              </w:rPr>
              <w:t>many College and Sponsored Sessions presentations (includ</w:t>
            </w:r>
            <w:r>
              <w:rPr>
                <w:rFonts w:ascii="Palatino Linotype" w:hAnsi="Palatino Linotype"/>
                <w:szCs w:val="20"/>
              </w:rPr>
              <w:t>ing a Sponsored Research Panel)</w:t>
            </w:r>
            <w:r>
              <w:rPr>
                <w:rFonts w:ascii="Palatino Linotype" w:hAnsi="Palatino Linotype"/>
              </w:rPr>
              <w:t xml:space="preserve">, </w:t>
            </w:r>
            <w:r w:rsidRPr="008F1E1E">
              <w:rPr>
                <w:rFonts w:ascii="Palatino Linotype" w:hAnsi="Palatino Linotype"/>
              </w:rPr>
              <w:t>WPU’s 4</w:t>
            </w:r>
            <w:r w:rsidRPr="008F1E1E">
              <w:rPr>
                <w:rFonts w:ascii="Palatino Linotype" w:hAnsi="Palatino Linotype"/>
                <w:vertAlign w:val="superscript"/>
              </w:rPr>
              <w:t>th</w:t>
            </w:r>
            <w:r w:rsidRPr="008F1E1E">
              <w:rPr>
                <w:rFonts w:ascii="Palatino Linotype" w:hAnsi="Palatino Linotype"/>
              </w:rPr>
              <w:t xml:space="preserve"> Annual Cyber Security and Big Data Analytics Symposium</w:t>
            </w:r>
            <w:r>
              <w:rPr>
                <w:rFonts w:ascii="Palatino Linotype" w:hAnsi="Palatino Linotype"/>
              </w:rPr>
              <w:t xml:space="preserve">, </w:t>
            </w:r>
            <w:r w:rsidR="003F7855">
              <w:rPr>
                <w:rFonts w:ascii="Palatino Linotype" w:hAnsi="Palatino Linotype"/>
              </w:rPr>
              <w:t xml:space="preserve">the </w:t>
            </w:r>
            <w:r w:rsidRPr="008F1E1E">
              <w:rPr>
                <w:rFonts w:ascii="Palatino Linotype" w:hAnsi="Palatino Linotype"/>
              </w:rPr>
              <w:t>UPS Computer Information</w:t>
            </w:r>
            <w:r>
              <w:rPr>
                <w:rFonts w:ascii="Palatino Linotype" w:hAnsi="Palatino Linotype"/>
              </w:rPr>
              <w:t xml:space="preserve"> Technology Lecture Series, </w:t>
            </w:r>
            <w:r w:rsidRPr="008F1E1E">
              <w:rPr>
                <w:rFonts w:ascii="Palatino Linotype" w:hAnsi="Palatino Linotype"/>
              </w:rPr>
              <w:t xml:space="preserve">Paterson School 12 Community Garden Clean Up and Spring </w:t>
            </w:r>
            <w:r>
              <w:rPr>
                <w:rFonts w:ascii="Palatino Linotype" w:hAnsi="Palatino Linotype"/>
              </w:rPr>
              <w:t xml:space="preserve">Planting, and </w:t>
            </w:r>
            <w:r w:rsidRPr="008F1E1E">
              <w:rPr>
                <w:rFonts w:ascii="Palatino Linotype" w:hAnsi="Palatino Linotype"/>
              </w:rPr>
              <w:t>The Paterson Metr</w:t>
            </w:r>
            <w:r>
              <w:rPr>
                <w:rFonts w:ascii="Palatino Linotype" w:hAnsi="Palatino Linotype"/>
              </w:rPr>
              <w:t>opolitan Region Research Center</w:t>
            </w:r>
            <w:r w:rsidRPr="00A34599">
              <w:rPr>
                <w:rFonts w:ascii="Palatino Linotype" w:hAnsi="Palatino Linotype" w:cs="Arial"/>
                <w:color w:val="000000"/>
                <w:szCs w:val="20"/>
              </w:rPr>
              <w:t xml:space="preserve">. </w:t>
            </w:r>
            <w:r>
              <w:rPr>
                <w:rFonts w:ascii="Palatino Linotype" w:hAnsi="Palatino Linotype" w:cs="Arial"/>
                <w:color w:val="000000"/>
                <w:szCs w:val="20"/>
              </w:rPr>
              <w:t>On April 12</w:t>
            </w:r>
            <w:r w:rsidRPr="00666AFC">
              <w:rPr>
                <w:rFonts w:ascii="Palatino Linotype" w:hAnsi="Palatino Linotype" w:cs="Arial"/>
                <w:color w:val="000000"/>
                <w:szCs w:val="20"/>
                <w:vertAlign w:val="superscript"/>
              </w:rPr>
              <w:t>th</w:t>
            </w:r>
            <w:r>
              <w:rPr>
                <w:rFonts w:ascii="Palatino Linotype" w:hAnsi="Palatino Linotype" w:cs="Arial"/>
                <w:color w:val="000000"/>
                <w:szCs w:val="20"/>
              </w:rPr>
              <w:t xml:space="preserve">, the </w:t>
            </w:r>
            <w:r>
              <w:rPr>
                <w:rFonts w:ascii="Palatino Linotype" w:hAnsi="Palatino Linotype"/>
              </w:rPr>
              <w:t>David and Lorraine Cheng Library Authors and Office of Sponsored Programs Award Recognition Reception will be held.</w:t>
            </w:r>
          </w:p>
          <w:p w:rsidR="009C17EE" w:rsidRPr="00666AFC" w:rsidRDefault="009C17EE" w:rsidP="002E4B33">
            <w:pPr>
              <w:ind w:left="144"/>
              <w:rPr>
                <w:rFonts w:ascii="Palatino Linotype" w:hAnsi="Palatino Linotype"/>
              </w:rPr>
            </w:pPr>
            <w:r>
              <w:rPr>
                <w:rFonts w:ascii="Palatino Linotype" w:hAnsi="Palatino Linotype" w:cs="Arial"/>
                <w:color w:val="000000"/>
                <w:szCs w:val="20"/>
              </w:rPr>
              <w:lastRenderedPageBreak/>
              <w:t xml:space="preserve">During the middle of the month </w:t>
            </w:r>
            <w:r w:rsidRPr="00A34599">
              <w:rPr>
                <w:rFonts w:ascii="Palatino Linotype" w:hAnsi="Palatino Linotype"/>
                <w:szCs w:val="20"/>
              </w:rPr>
              <w:t>the</w:t>
            </w:r>
            <w:r>
              <w:rPr>
                <w:rFonts w:ascii="Palatino Linotype" w:hAnsi="Palatino Linotype"/>
                <w:szCs w:val="20"/>
              </w:rPr>
              <w:t xml:space="preserve"> Honors College will hold </w:t>
            </w:r>
            <w:r w:rsidRPr="00A34599">
              <w:rPr>
                <w:rFonts w:ascii="Palatino Linotype" w:hAnsi="Palatino Linotype"/>
                <w:szCs w:val="20"/>
              </w:rPr>
              <w:t>Honors</w:t>
            </w:r>
            <w:r>
              <w:rPr>
                <w:rFonts w:ascii="Palatino Linotype" w:hAnsi="Palatino Linotype"/>
                <w:szCs w:val="20"/>
              </w:rPr>
              <w:t xml:space="preserve"> </w:t>
            </w:r>
            <w:r w:rsidRPr="00A34599">
              <w:rPr>
                <w:rFonts w:ascii="Palatino Linotype" w:hAnsi="Palatino Linotype"/>
                <w:szCs w:val="20"/>
              </w:rPr>
              <w:t>Week</w:t>
            </w:r>
            <w:r>
              <w:rPr>
                <w:rFonts w:ascii="Palatino Linotype" w:hAnsi="Palatino Linotype"/>
                <w:szCs w:val="20"/>
              </w:rPr>
              <w:t xml:space="preserve"> Student Research Presentations</w:t>
            </w:r>
            <w:r w:rsidR="003F7855">
              <w:rPr>
                <w:rFonts w:ascii="Palatino Linotype" w:hAnsi="Palatino Linotype"/>
                <w:szCs w:val="20"/>
              </w:rPr>
              <w:t xml:space="preserve">, </w:t>
            </w:r>
            <w:r w:rsidR="00840240">
              <w:rPr>
                <w:rFonts w:ascii="Palatino Linotype" w:hAnsi="Palatino Linotype"/>
                <w:szCs w:val="20"/>
              </w:rPr>
              <w:t>while</w:t>
            </w:r>
            <w:r>
              <w:rPr>
                <w:rFonts w:ascii="Palatino Linotype" w:hAnsi="Palatino Linotype"/>
                <w:szCs w:val="20"/>
              </w:rPr>
              <w:t xml:space="preserve"> the university will also host </w:t>
            </w:r>
            <w:r>
              <w:rPr>
                <w:rFonts w:ascii="Palatino Linotype" w:eastAsia="Times New Roman" w:hAnsi="Palatino Linotype" w:cs="Arial"/>
                <w:color w:val="000000"/>
                <w:szCs w:val="20"/>
              </w:rPr>
              <w:t>the 12</w:t>
            </w:r>
            <w:r w:rsidRPr="00F04727">
              <w:rPr>
                <w:rFonts w:ascii="Palatino Linotype" w:eastAsia="Times New Roman" w:hAnsi="Palatino Linotype" w:cs="Arial"/>
                <w:color w:val="000000"/>
                <w:szCs w:val="20"/>
                <w:vertAlign w:val="superscript"/>
              </w:rPr>
              <w:t>th</w:t>
            </w:r>
            <w:r>
              <w:rPr>
                <w:rFonts w:ascii="Palatino Linotype" w:eastAsia="Times New Roman" w:hAnsi="Palatino Linotype" w:cs="Arial"/>
                <w:color w:val="000000"/>
                <w:szCs w:val="20"/>
              </w:rPr>
              <w:t xml:space="preserve"> </w:t>
            </w:r>
            <w:r w:rsidRPr="00A34599">
              <w:rPr>
                <w:rFonts w:ascii="Palatino Linotype" w:eastAsia="Times New Roman" w:hAnsi="Palatino Linotype" w:cs="Arial"/>
                <w:color w:val="000000"/>
                <w:szCs w:val="20"/>
              </w:rPr>
              <w:t>Annual Undergraduate Research Symposium</w:t>
            </w:r>
            <w:r>
              <w:rPr>
                <w:rFonts w:ascii="Palatino Linotype" w:eastAsia="Times New Roman" w:hAnsi="Palatino Linotype" w:cs="Arial"/>
                <w:color w:val="000000"/>
                <w:szCs w:val="20"/>
              </w:rPr>
              <w:t xml:space="preserve">, and the </w:t>
            </w:r>
            <w:r>
              <w:rPr>
                <w:rFonts w:ascii="Palatino Linotype" w:hAnsi="Palatino Linotype"/>
              </w:rPr>
              <w:t>Annual Spring Writer’s conference will be held on April 14</w:t>
            </w:r>
            <w:r w:rsidRPr="008F1E1E">
              <w:rPr>
                <w:rFonts w:ascii="Palatino Linotype" w:hAnsi="Palatino Linotype"/>
                <w:vertAlign w:val="superscript"/>
              </w:rPr>
              <w:t>th</w:t>
            </w:r>
            <w:r>
              <w:rPr>
                <w:rFonts w:ascii="Palatino Linotype" w:hAnsi="Palatino Linotype"/>
                <w:szCs w:val="20"/>
              </w:rPr>
              <w:t xml:space="preserve">. </w:t>
            </w:r>
            <w:r w:rsidRPr="00A34599">
              <w:rPr>
                <w:rFonts w:ascii="Palatino Linotype" w:hAnsi="Palatino Linotype"/>
                <w:szCs w:val="20"/>
              </w:rPr>
              <w:t xml:space="preserve"> </w:t>
            </w:r>
            <w:r w:rsidRPr="008F1E1E">
              <w:rPr>
                <w:rFonts w:ascii="Palatino Linotype" w:hAnsi="Palatino Linotype"/>
              </w:rPr>
              <w:t>Mathematics Awareness</w:t>
            </w:r>
            <w:r>
              <w:rPr>
                <w:rFonts w:ascii="Palatino Linotype" w:hAnsi="Palatino Linotype"/>
              </w:rPr>
              <w:t xml:space="preserve"> </w:t>
            </w:r>
            <w:r w:rsidRPr="008F1E1E">
              <w:rPr>
                <w:rFonts w:ascii="Palatino Linotype" w:hAnsi="Palatino Linotype"/>
              </w:rPr>
              <w:t>Week 2018</w:t>
            </w:r>
            <w:r>
              <w:rPr>
                <w:rFonts w:ascii="Palatino Linotype" w:hAnsi="Palatino Linotype"/>
              </w:rPr>
              <w:t xml:space="preserve"> will take place the last week of April with </w:t>
            </w:r>
            <w:r w:rsidR="003F7855">
              <w:rPr>
                <w:rFonts w:ascii="Palatino Linotype" w:hAnsi="Palatino Linotype"/>
              </w:rPr>
              <w:t xml:space="preserve">events </w:t>
            </w:r>
            <w:r>
              <w:rPr>
                <w:rFonts w:ascii="Palatino Linotype" w:hAnsi="Palatino Linotype"/>
              </w:rPr>
              <w:t xml:space="preserve">held throughout the week. </w:t>
            </w:r>
            <w:r w:rsidRPr="00A34599">
              <w:rPr>
                <w:rFonts w:ascii="Palatino Linotype" w:hAnsi="Palatino Linotype"/>
                <w:szCs w:val="20"/>
              </w:rPr>
              <w:t xml:space="preserve">A full schedule of events, as well as </w:t>
            </w:r>
            <w:r>
              <w:rPr>
                <w:rFonts w:ascii="Palatino Linotype" w:hAnsi="Palatino Linotype"/>
                <w:szCs w:val="20"/>
              </w:rPr>
              <w:t xml:space="preserve">an </w:t>
            </w:r>
            <w:r w:rsidRPr="00A34599">
              <w:rPr>
                <w:rFonts w:ascii="Palatino Linotype" w:hAnsi="Palatino Linotype"/>
                <w:szCs w:val="20"/>
              </w:rPr>
              <w:t xml:space="preserve">itinerary and </w:t>
            </w:r>
            <w:r>
              <w:rPr>
                <w:rFonts w:ascii="Palatino Linotype" w:hAnsi="Palatino Linotype"/>
                <w:szCs w:val="20"/>
              </w:rPr>
              <w:t>the</w:t>
            </w:r>
            <w:r w:rsidR="003F7855">
              <w:rPr>
                <w:rFonts w:ascii="Palatino Linotype" w:hAnsi="Palatino Linotype"/>
                <w:szCs w:val="20"/>
              </w:rPr>
              <w:t>ir</w:t>
            </w:r>
            <w:r>
              <w:rPr>
                <w:rFonts w:ascii="Palatino Linotype" w:hAnsi="Palatino Linotype"/>
                <w:szCs w:val="20"/>
              </w:rPr>
              <w:t xml:space="preserve"> </w:t>
            </w:r>
            <w:r w:rsidRPr="00A34599">
              <w:rPr>
                <w:rFonts w:ascii="Palatino Linotype" w:hAnsi="Palatino Linotype"/>
                <w:szCs w:val="20"/>
              </w:rPr>
              <w:t>exact times and locations</w:t>
            </w:r>
            <w:r>
              <w:rPr>
                <w:rFonts w:ascii="Palatino Linotype" w:hAnsi="Palatino Linotype"/>
                <w:szCs w:val="20"/>
              </w:rPr>
              <w:t>,</w:t>
            </w:r>
            <w:r w:rsidRPr="00A34599">
              <w:rPr>
                <w:rFonts w:ascii="Palatino Linotype" w:hAnsi="Palatino Linotype"/>
                <w:szCs w:val="20"/>
              </w:rPr>
              <w:t xml:space="preserve"> is available here </w:t>
            </w:r>
            <w:hyperlink r:id="rId12" w:history="1">
              <w:r>
                <w:rPr>
                  <w:rStyle w:val="Hyperlink"/>
                  <w:rFonts w:ascii="Palatino Linotype" w:hAnsi="Palatino Linotype"/>
                  <w:szCs w:val="20"/>
                </w:rPr>
                <w:t>wpunj.edu/osp/explorations</w:t>
              </w:r>
            </w:hyperlink>
            <w:r>
              <w:rPr>
                <w:rFonts w:ascii="Palatino Linotype" w:hAnsi="Palatino Linotype"/>
                <w:szCs w:val="20"/>
              </w:rPr>
              <w:t>.</w:t>
            </w:r>
          </w:p>
          <w:p w:rsidR="009C17EE" w:rsidRDefault="009C17EE" w:rsidP="002E4B33">
            <w:pPr>
              <w:spacing w:before="120" w:after="120"/>
              <w:ind w:left="144"/>
              <w:rPr>
                <w:rFonts w:ascii="Palatino Linotype" w:hAnsi="Palatino Linotype"/>
                <w:szCs w:val="20"/>
              </w:rPr>
            </w:pPr>
            <w:r w:rsidRPr="00A34599">
              <w:rPr>
                <w:rFonts w:ascii="Palatino Linotype" w:hAnsi="Palatino Linotype"/>
                <w:szCs w:val="20"/>
              </w:rPr>
              <w:t>By attending the EXPL</w:t>
            </w:r>
            <w:r>
              <w:rPr>
                <w:rFonts w:ascii="Palatino Linotype" w:hAnsi="Palatino Linotype"/>
                <w:szCs w:val="20"/>
              </w:rPr>
              <w:t xml:space="preserve">ORATIONS events, everyone will get ideas about their own RSCE projects and how to </w:t>
            </w:r>
            <w:r w:rsidRPr="00A34599">
              <w:rPr>
                <w:rFonts w:ascii="Palatino Linotype" w:hAnsi="Palatino Linotype"/>
                <w:szCs w:val="20"/>
              </w:rPr>
              <w:t xml:space="preserve">incorporate </w:t>
            </w:r>
            <w:r>
              <w:rPr>
                <w:rFonts w:ascii="Palatino Linotype" w:hAnsi="Palatino Linotype"/>
                <w:szCs w:val="20"/>
              </w:rPr>
              <w:t>those ideas into classroom experiences and student assignments.</w:t>
            </w:r>
            <w:r w:rsidRPr="00A34599">
              <w:rPr>
                <w:rFonts w:ascii="Palatino Linotype" w:hAnsi="Palatino Linotype"/>
                <w:szCs w:val="20"/>
              </w:rPr>
              <w:t xml:space="preserve"> </w:t>
            </w:r>
          </w:p>
          <w:p w:rsidR="009E5902" w:rsidRPr="002E4B33" w:rsidRDefault="009C17EE" w:rsidP="002E4B33">
            <w:pPr>
              <w:spacing w:after="120"/>
              <w:ind w:left="144"/>
            </w:pPr>
            <w:r w:rsidRPr="00A34599">
              <w:rPr>
                <w:rFonts w:ascii="Palatino Linotype" w:hAnsi="Palatino Linotype"/>
                <w:szCs w:val="20"/>
              </w:rPr>
              <w:t>We hope to see you there!</w:t>
            </w:r>
          </w:p>
        </w:tc>
      </w:tr>
      <w:tr w:rsidR="00EA011A" w:rsidRPr="00752727" w:rsidTr="006A028D">
        <w:trPr>
          <w:trHeight w:val="620"/>
        </w:trPr>
        <w:tc>
          <w:tcPr>
            <w:tcW w:w="10615" w:type="dxa"/>
            <w:gridSpan w:val="9"/>
            <w:shd w:val="clear" w:color="auto" w:fill="auto"/>
            <w:tcMar>
              <w:top w:w="0" w:type="dxa"/>
              <w:left w:w="108" w:type="dxa"/>
              <w:bottom w:w="0" w:type="dxa"/>
              <w:right w:w="108" w:type="dxa"/>
            </w:tcMar>
          </w:tcPr>
          <w:p w:rsidR="008F23DE" w:rsidRDefault="008F23DE" w:rsidP="008F23DE">
            <w:pPr>
              <w:pStyle w:val="NormalWeb"/>
              <w:spacing w:before="0" w:beforeAutospacing="0" w:after="120" w:afterAutospacing="0"/>
              <w:rPr>
                <w:rStyle w:val="Strong"/>
                <w:rFonts w:ascii="Palatino Linotype" w:hAnsi="Palatino Linotype"/>
                <w:color w:val="538135" w:themeColor="accent6" w:themeShade="BF"/>
                <w:sz w:val="28"/>
                <w:szCs w:val="28"/>
                <w:u w:val="single"/>
              </w:rPr>
            </w:pPr>
            <w:r>
              <w:rPr>
                <w:rStyle w:val="Strong"/>
                <w:rFonts w:ascii="Palatino Linotype" w:hAnsi="Palatino Linotype"/>
                <w:color w:val="538135" w:themeColor="accent6" w:themeShade="BF"/>
                <w:sz w:val="28"/>
                <w:szCs w:val="28"/>
                <w:u w:val="single"/>
              </w:rPr>
              <w:lastRenderedPageBreak/>
              <w:t xml:space="preserve">OSP Spring 2018 Workshop Schedule (Updated 3/9/2018) </w:t>
            </w:r>
          </w:p>
          <w:p w:rsidR="008F23DE" w:rsidRDefault="008F23DE" w:rsidP="008F23DE">
            <w:pPr>
              <w:spacing w:after="120"/>
            </w:pPr>
            <w:r>
              <w:rPr>
                <w:rFonts w:ascii="Palatino Linotype" w:hAnsi="Palatino Linotype"/>
                <w:u w:val="single"/>
              </w:rPr>
              <w:t>Grants 101: The Anatomy of Writing Grants</w:t>
            </w:r>
            <w:r>
              <w:rPr>
                <w:rFonts w:ascii="Palatino Linotype" w:hAnsi="Palatino Linotype"/>
              </w:rPr>
              <w:t xml:space="preserve">  </w:t>
            </w:r>
            <w:r>
              <w:rPr>
                <w:rFonts w:ascii="Palatino Linotype" w:hAnsi="Palatino Linotype"/>
                <w:b/>
              </w:rPr>
              <w:t>REVISED DATE</w:t>
            </w:r>
            <w:r>
              <w:rPr>
                <w:rFonts w:ascii="Palatino Linotype" w:hAnsi="Palatino Linotype"/>
              </w:rPr>
              <w:t xml:space="preserve"> (due to snow closure on 3/8/2018)</w:t>
            </w:r>
          </w:p>
          <w:p w:rsidR="008F23DE" w:rsidRDefault="008F23DE" w:rsidP="008F23DE">
            <w:pPr>
              <w:spacing w:after="120"/>
              <w:ind w:left="4320" w:hanging="4320"/>
              <w:rPr>
                <w:rFonts w:ascii="Palatino Linotype" w:hAnsi="Palatino Linotype"/>
              </w:rPr>
            </w:pPr>
            <w:r>
              <w:rPr>
                <w:rFonts w:ascii="Palatino Linotype" w:hAnsi="Palatino Linotype"/>
              </w:rPr>
              <w:t xml:space="preserve">                                    Tuesday, March 27  12:30PM to 1:45PM</w:t>
            </w:r>
            <w:r>
              <w:rPr>
                <w:rFonts w:ascii="Palatino Linotype" w:hAnsi="Palatino Linotype"/>
              </w:rPr>
              <w:tab/>
              <w:t xml:space="preserve"> Main Campus - TBD</w:t>
            </w:r>
          </w:p>
          <w:p w:rsidR="008F23DE" w:rsidRDefault="008F23DE" w:rsidP="008F23DE">
            <w:pPr>
              <w:spacing w:after="120"/>
              <w:ind w:left="4320" w:hanging="4320"/>
              <w:rPr>
                <w:rFonts w:ascii="Palatino Linotype" w:hAnsi="Palatino Linotype"/>
                <w:u w:val="single"/>
              </w:rPr>
            </w:pPr>
            <w:r>
              <w:rPr>
                <w:rFonts w:ascii="Palatino Linotype" w:hAnsi="Palatino Linotype"/>
                <w:u w:val="single"/>
              </w:rPr>
              <w:t>Toolkit for Finding Grants: Elements for a Successful Grant Search</w:t>
            </w:r>
          </w:p>
          <w:p w:rsidR="008F23DE" w:rsidRDefault="008F23DE" w:rsidP="008F23DE">
            <w:pPr>
              <w:spacing w:after="120"/>
              <w:rPr>
                <w:rFonts w:ascii="Palatino Linotype" w:hAnsi="Palatino Linotype"/>
              </w:rPr>
            </w:pPr>
            <w:r>
              <w:rPr>
                <w:rFonts w:ascii="Palatino Linotype" w:hAnsi="Palatino Linotype"/>
              </w:rPr>
              <w:t xml:space="preserve">                                    Thursday, April 26  12:30PM to 1:45PM</w:t>
            </w:r>
            <w:r>
              <w:rPr>
                <w:rFonts w:ascii="Palatino Linotype" w:hAnsi="Palatino Linotype"/>
              </w:rPr>
              <w:tab/>
              <w:t xml:space="preserve"> Science East 5019</w:t>
            </w:r>
          </w:p>
          <w:p w:rsidR="008F23DE" w:rsidRDefault="008F23DE" w:rsidP="008F23DE">
            <w:pPr>
              <w:spacing w:after="120"/>
              <w:ind w:left="4320" w:hanging="4320"/>
              <w:rPr>
                <w:rFonts w:ascii="Palatino Linotype" w:hAnsi="Palatino Linotype"/>
                <w:u w:val="single"/>
              </w:rPr>
            </w:pPr>
            <w:r>
              <w:rPr>
                <w:rFonts w:ascii="Palatino Linotype" w:hAnsi="Palatino Linotype"/>
                <w:u w:val="single"/>
              </w:rPr>
              <w:t>Toolkit for Finding Grants: Elements for a Successful Grant Search</w:t>
            </w:r>
          </w:p>
          <w:p w:rsidR="008F23DE" w:rsidRDefault="008F23DE" w:rsidP="008F23DE">
            <w:pPr>
              <w:spacing w:after="120"/>
              <w:rPr>
                <w:rFonts w:ascii="Palatino Linotype" w:hAnsi="Palatino Linotype"/>
              </w:rPr>
            </w:pPr>
            <w:r>
              <w:rPr>
                <w:rFonts w:ascii="Palatino Linotype" w:hAnsi="Palatino Linotype"/>
              </w:rPr>
              <w:t xml:space="preserve">                                    Thursday, May 3     12:30PM to 1:45PM </w:t>
            </w:r>
            <w:r>
              <w:rPr>
                <w:rFonts w:ascii="Palatino Linotype" w:hAnsi="Palatino Linotype"/>
              </w:rPr>
              <w:tab/>
              <w:t xml:space="preserve"> Valley Road 1020</w:t>
            </w:r>
          </w:p>
          <w:p w:rsidR="008F23DE" w:rsidRDefault="008F23DE" w:rsidP="008F23DE">
            <w:pPr>
              <w:spacing w:after="120"/>
              <w:rPr>
                <w:rFonts w:ascii="Palatino Linotype" w:hAnsi="Palatino Linotype"/>
                <w:u w:val="single"/>
              </w:rPr>
            </w:pPr>
            <w:r>
              <w:rPr>
                <w:rFonts w:ascii="Palatino Linotype" w:hAnsi="Palatino Linotype"/>
                <w:u w:val="single"/>
              </w:rPr>
              <w:t>The Art of Writing a Competitive Grant Proposal</w:t>
            </w:r>
          </w:p>
          <w:p w:rsidR="008F23DE" w:rsidRDefault="008F23DE" w:rsidP="008F23DE">
            <w:pPr>
              <w:spacing w:after="120"/>
              <w:rPr>
                <w:rFonts w:ascii="Palatino Linotype" w:hAnsi="Palatino Linotype"/>
              </w:rPr>
            </w:pPr>
            <w:r>
              <w:rPr>
                <w:rFonts w:ascii="Palatino Linotype" w:hAnsi="Palatino Linotype"/>
              </w:rPr>
              <w:t xml:space="preserve">                                     Wednesday, May 23 10:30AM to 12:30PM      Cheng Library  L01</w:t>
            </w:r>
          </w:p>
          <w:p w:rsidR="008F23DE" w:rsidRDefault="008F23DE" w:rsidP="008F23DE">
            <w:pPr>
              <w:spacing w:after="120"/>
              <w:rPr>
                <w:rFonts w:ascii="Palatino Linotype" w:hAnsi="Palatino Linotype"/>
              </w:rPr>
            </w:pPr>
            <w:r>
              <w:rPr>
                <w:rFonts w:ascii="Palatino Linotype" w:hAnsi="Palatino Linotype"/>
              </w:rPr>
              <w:t xml:space="preserve">RSVP is highly encouraged as space is limited.  Please contact Maureen Peters at </w:t>
            </w:r>
            <w:hyperlink r:id="rId13" w:history="1">
              <w:r>
                <w:rPr>
                  <w:rStyle w:val="Hyperlink"/>
                  <w:rFonts w:ascii="Palatino Linotype" w:hAnsi="Palatino Linotype"/>
                </w:rPr>
                <w:t>petersm@wpunj.edu</w:t>
              </w:r>
            </w:hyperlink>
            <w:r>
              <w:rPr>
                <w:rFonts w:ascii="Palatino Linotype" w:hAnsi="Palatino Linotype"/>
              </w:rPr>
              <w:t xml:space="preserve"> or x2852.</w:t>
            </w:r>
          </w:p>
          <w:p w:rsidR="00EA011A" w:rsidRPr="00A21F75" w:rsidRDefault="008F23DE" w:rsidP="008F23DE">
            <w:pPr>
              <w:pStyle w:val="NormalWeb"/>
              <w:spacing w:before="0" w:beforeAutospacing="0" w:after="120" w:afterAutospacing="0"/>
              <w:rPr>
                <w:rStyle w:val="Strong"/>
                <w:rFonts w:ascii="Palatino Linotype" w:hAnsi="Palatino Linotype"/>
                <w:color w:val="C00000"/>
                <w:sz w:val="22"/>
                <w:szCs w:val="22"/>
                <w:u w:val="single"/>
              </w:rPr>
            </w:pPr>
            <w:r>
              <w:rPr>
                <w:rFonts w:ascii="Palatino Linotype" w:hAnsi="Palatino Linotype"/>
              </w:rPr>
              <w:t xml:space="preserve">For more information, including descriptions of each workshop, please visit: </w:t>
            </w:r>
            <w:hyperlink r:id="rId14" w:history="1">
              <w:r>
                <w:rPr>
                  <w:rStyle w:val="Hyperlink"/>
                  <w:rFonts w:ascii="Palatino Linotype" w:hAnsi="Palatino Linotype"/>
                </w:rPr>
                <w:t>wpunj.edu/osp/workshops</w:t>
              </w:r>
            </w:hyperlink>
          </w:p>
        </w:tc>
      </w:tr>
      <w:tr w:rsidR="00EA011A" w:rsidRPr="00752727" w:rsidTr="008F23DE">
        <w:trPr>
          <w:trHeight w:val="8720"/>
        </w:trPr>
        <w:tc>
          <w:tcPr>
            <w:tcW w:w="3416"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6A028D">
              <w:trPr>
                <w:trHeight w:val="2780"/>
              </w:trPr>
              <w:tc>
                <w:tcPr>
                  <w:tcW w:w="3385" w:type="dxa"/>
                  <w:shd w:val="clear" w:color="auto" w:fill="FFC000"/>
                </w:tcPr>
                <w:p w:rsidR="00EA011A" w:rsidRPr="00752727" w:rsidRDefault="00EA011A" w:rsidP="00EA011A">
                  <w:pPr>
                    <w:spacing w:after="0" w:line="240" w:lineRule="auto"/>
                    <w:ind w:right="144"/>
                    <w:rPr>
                      <w:b/>
                      <w:i/>
                      <w:sz w:val="32"/>
                      <w:szCs w:val="32"/>
                    </w:rPr>
                  </w:pPr>
                  <w:r w:rsidRPr="00752727">
                    <w:rPr>
                      <w:b/>
                      <w:i/>
                      <w:sz w:val="32"/>
                      <w:szCs w:val="32"/>
                    </w:rPr>
                    <w:lastRenderedPageBreak/>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2E4B33" w:rsidP="00EA011A">
                  <w:pPr>
                    <w:spacing w:after="0" w:line="240" w:lineRule="auto"/>
                    <w:ind w:right="144"/>
                    <w:rPr>
                      <w:rFonts w:ascii="Arial" w:hAnsi="Arial" w:cs="Arial"/>
                      <w:color w:val="313131"/>
                      <w:bdr w:val="none" w:sz="0" w:space="0" w:color="auto" w:frame="1"/>
                    </w:rPr>
                  </w:pPr>
                  <w:hyperlink r:id="rId15"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2E4B33" w:rsidP="00EA011A">
                  <w:pPr>
                    <w:spacing w:after="0" w:line="240" w:lineRule="auto"/>
                    <w:ind w:right="144"/>
                    <w:rPr>
                      <w:rFonts w:ascii="Arial" w:hAnsi="Arial" w:cs="Arial"/>
                      <w:color w:val="313131"/>
                      <w:bdr w:val="none" w:sz="0" w:space="0" w:color="auto" w:frame="1"/>
                    </w:rPr>
                  </w:pPr>
                  <w:hyperlink r:id="rId16"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2E4B33" w:rsidP="00EA011A">
                  <w:pPr>
                    <w:spacing w:after="0" w:line="240" w:lineRule="auto"/>
                    <w:ind w:right="144"/>
                    <w:rPr>
                      <w:bdr w:val="none" w:sz="0" w:space="0" w:color="auto" w:frame="1"/>
                    </w:rPr>
                  </w:pPr>
                  <w:hyperlink r:id="rId17"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EA011A">
            <w:pPr>
              <w:spacing w:after="0"/>
              <w:ind w:right="144"/>
              <w:contextualSpacing/>
            </w:pPr>
          </w:p>
          <w:p w:rsidR="00EA011A" w:rsidRDefault="00EA011A" w:rsidP="00EA011A">
            <w:pPr>
              <w:spacing w:after="0"/>
              <w:ind w:left="144" w:right="144"/>
              <w:contextualSpacing/>
              <w:jc w:val="center"/>
              <w:rPr>
                <w:rFonts w:ascii="Times New Roman" w:hAnsi="Times New Roman"/>
                <w:sz w:val="24"/>
                <w:szCs w:val="24"/>
              </w:rPr>
            </w:pPr>
            <w:r>
              <w:t>*****</w:t>
            </w:r>
          </w:p>
        </w:tc>
        <w:tc>
          <w:tcPr>
            <w:tcW w:w="7199" w:type="dxa"/>
            <w:gridSpan w:val="6"/>
          </w:tcPr>
          <w:p w:rsidR="00EA011A" w:rsidRDefault="00EA011A" w:rsidP="00EA011A">
            <w:pPr>
              <w:shd w:val="clear" w:color="auto" w:fill="FFFFFF"/>
              <w:contextualSpacing/>
              <w:rPr>
                <w:rFonts w:ascii="Palatino Linotype" w:hAnsi="Palatino Linotype"/>
                <w:b/>
                <w:sz w:val="20"/>
                <w:szCs w:val="20"/>
                <w:u w:val="single"/>
              </w:rPr>
            </w:pPr>
          </w:p>
          <w:p w:rsidR="00EA011A" w:rsidRPr="000300C6" w:rsidRDefault="00EA011A" w:rsidP="00EA011A">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6B45A5" w:rsidRPr="002B69B8" w:rsidRDefault="006B45A5" w:rsidP="00E9169C">
            <w:pPr>
              <w:spacing w:line="240" w:lineRule="auto"/>
              <w:ind w:left="144"/>
              <w:contextualSpacing/>
              <w:rPr>
                <w:rFonts w:ascii="Palatino Linotype" w:hAnsi="Palatino Linotype"/>
                <w:b/>
                <w:sz w:val="20"/>
                <w:szCs w:val="20"/>
                <w:u w:val="single"/>
              </w:rPr>
            </w:pPr>
            <w:bookmarkStart w:id="1" w:name="PPHDARG"/>
            <w:r w:rsidRPr="002B69B8">
              <w:rPr>
                <w:rFonts w:ascii="Palatino Linotype" w:hAnsi="Palatino Linotype"/>
                <w:b/>
                <w:sz w:val="20"/>
                <w:szCs w:val="20"/>
                <w:u w:val="single"/>
              </w:rPr>
              <w:t>Post-Ph.D. Anthropology Research Grants</w:t>
            </w:r>
          </w:p>
          <w:bookmarkEnd w:id="1"/>
          <w:p w:rsidR="006B45A5" w:rsidRPr="002B69B8" w:rsidRDefault="006B45A5" w:rsidP="00E9169C">
            <w:pPr>
              <w:spacing w:line="240" w:lineRule="auto"/>
              <w:ind w:left="144"/>
              <w:contextualSpacing/>
              <w:rPr>
                <w:rFonts w:ascii="Palatino Linotype" w:hAnsi="Palatino Linotype"/>
                <w:b/>
                <w:i/>
                <w:sz w:val="20"/>
                <w:szCs w:val="20"/>
              </w:rPr>
            </w:pPr>
            <w:r w:rsidRPr="002B69B8">
              <w:rPr>
                <w:rFonts w:ascii="Palatino Linotype" w:hAnsi="Palatino Linotype"/>
                <w:b/>
                <w:i/>
                <w:sz w:val="20"/>
                <w:szCs w:val="20"/>
              </w:rPr>
              <w:t>Wenner-Gren Foundation</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cs="Arial"/>
                <w:color w:val="000000"/>
                <w:sz w:val="20"/>
                <w:szCs w:val="20"/>
                <w:shd w:val="clear" w:color="auto" w:fill="FFFFFF"/>
              </w:rPr>
              <w:t>These grants support research that demonstrates a clear link to anthropological theory and debates, and promises to make a solid contribution to advancing these ideas. There is no preference for any methodology, research location, or subfield. The Foundation particularly welcomes proposals that employ a comparative perspective, can generate innovative approaches or ideas, and/or integrate two or more subfields.</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The next deadline for proposals is May 01, 2018. For more information visit </w:t>
            </w:r>
            <w:hyperlink r:id="rId18" w:history="1">
              <w:r>
                <w:rPr>
                  <w:rStyle w:val="Hyperlink"/>
                  <w:rFonts w:ascii="Palatino Linotype" w:hAnsi="Palatino Linotype"/>
                  <w:sz w:val="20"/>
                  <w:szCs w:val="20"/>
                </w:rPr>
                <w:t>wennergren.org</w:t>
              </w:r>
            </w:hyperlink>
            <w:r w:rsidRPr="002B69B8">
              <w:rPr>
                <w:rFonts w:ascii="Palatino Linotype" w:hAnsi="Palatino Linotype"/>
                <w:sz w:val="20"/>
                <w:szCs w:val="20"/>
              </w:rPr>
              <w:t>.</w:t>
            </w:r>
          </w:p>
          <w:p w:rsidR="006B45A5" w:rsidRPr="002B69B8" w:rsidRDefault="006B45A5" w:rsidP="00E9169C">
            <w:pPr>
              <w:pStyle w:val="NormalWeb"/>
              <w:shd w:val="clear" w:color="auto" w:fill="FFFFFF"/>
              <w:spacing w:before="0" w:beforeAutospacing="0" w:after="0" w:afterAutospacing="0"/>
              <w:ind w:left="144"/>
              <w:rPr>
                <w:rFonts w:ascii="Palatino Linotype" w:hAnsi="Palatino Linotype" w:cs="Arial"/>
                <w:b/>
                <w:sz w:val="20"/>
                <w:szCs w:val="20"/>
                <w:u w:val="single"/>
              </w:rPr>
            </w:pPr>
            <w:bookmarkStart w:id="2" w:name="IIREFV"/>
            <w:r w:rsidRPr="002B69B8">
              <w:rPr>
                <w:rFonts w:ascii="Palatino Linotype" w:hAnsi="Palatino Linotype" w:cs="Arial"/>
                <w:b/>
                <w:sz w:val="20"/>
                <w:szCs w:val="20"/>
                <w:u w:val="single"/>
              </w:rPr>
              <w:t>Investigator-Initiated Research and Evaluation on Firearms Violence</w:t>
            </w:r>
          </w:p>
          <w:bookmarkEnd w:id="2"/>
          <w:p w:rsidR="006B45A5" w:rsidRPr="002B69B8" w:rsidRDefault="006B45A5" w:rsidP="00E9169C">
            <w:pPr>
              <w:pStyle w:val="NormalWeb"/>
              <w:shd w:val="clear" w:color="auto" w:fill="FFFFFF"/>
              <w:spacing w:before="0" w:beforeAutospacing="0" w:after="0" w:afterAutospacing="0"/>
              <w:ind w:left="144"/>
              <w:rPr>
                <w:rFonts w:ascii="Palatino Linotype" w:hAnsi="Palatino Linotype" w:cs="Arial"/>
                <w:b/>
                <w:i/>
                <w:sz w:val="20"/>
                <w:szCs w:val="20"/>
              </w:rPr>
            </w:pPr>
            <w:r w:rsidRPr="002B69B8">
              <w:rPr>
                <w:rFonts w:ascii="Palatino Linotype" w:hAnsi="Palatino Linotype" w:cs="Arial"/>
                <w:b/>
                <w:i/>
                <w:sz w:val="20"/>
                <w:szCs w:val="20"/>
              </w:rPr>
              <w:t>Department of Justice (Justice)</w:t>
            </w:r>
          </w:p>
          <w:p w:rsidR="006B45A5" w:rsidRPr="002B69B8" w:rsidRDefault="006B45A5" w:rsidP="00E9169C">
            <w:pPr>
              <w:pStyle w:val="NormalWeb"/>
              <w:shd w:val="clear" w:color="auto" w:fill="FFFFFF"/>
              <w:spacing w:before="0" w:beforeAutospacing="0" w:after="0" w:afterAutospacing="0"/>
              <w:ind w:left="144"/>
              <w:rPr>
                <w:rFonts w:ascii="Palatino Linotype" w:hAnsi="Palatino Linotype" w:cs="Arial"/>
                <w:sz w:val="20"/>
                <w:szCs w:val="20"/>
              </w:rPr>
            </w:pPr>
            <w:r w:rsidRPr="002B69B8">
              <w:rPr>
                <w:rFonts w:ascii="Palatino Linotype" w:hAnsi="Palatino Linotype" w:cs="Arial"/>
                <w:sz w:val="20"/>
                <w:szCs w:val="20"/>
              </w:rPr>
              <w:t>This program seeks proposals for investigator-initiated research and evaluation projects to improve understanding, prevention and deterrence of firearms violence in general and public mass shooting incidents in particular. This solicitation aims to strengthen the knowledge base and improve public safety by producing findings with practical implications. This solicitation is focused specifically on producing research related to intentional, interpersonal firearms violence.</w:t>
            </w:r>
          </w:p>
          <w:p w:rsidR="006B45A5" w:rsidRPr="002B69B8" w:rsidRDefault="006B45A5" w:rsidP="00E9169C">
            <w:pPr>
              <w:pStyle w:val="NormalWeb"/>
              <w:shd w:val="clear" w:color="auto" w:fill="FFFFFF"/>
              <w:spacing w:before="0" w:beforeAutospacing="0" w:after="0" w:afterAutospacing="0"/>
              <w:ind w:left="144"/>
              <w:rPr>
                <w:rFonts w:ascii="Palatino Linotype" w:hAnsi="Palatino Linotype" w:cs="Arial"/>
                <w:color w:val="333333"/>
                <w:sz w:val="20"/>
                <w:szCs w:val="20"/>
              </w:rPr>
            </w:pPr>
            <w:r w:rsidRPr="002B69B8">
              <w:rPr>
                <w:rFonts w:ascii="Palatino Linotype" w:hAnsi="Palatino Linotype" w:cs="Arial"/>
                <w:sz w:val="20"/>
                <w:szCs w:val="20"/>
              </w:rPr>
              <w:t xml:space="preserve">Proposals are due May 14, 2018. For more information see </w:t>
            </w:r>
            <w:hyperlink r:id="rId19" w:history="1">
              <w:r>
                <w:rPr>
                  <w:rStyle w:val="Hyperlink"/>
                  <w:rFonts w:ascii="Palatino Linotype" w:hAnsi="Palatino Linotype" w:cs="Arial"/>
                  <w:sz w:val="20"/>
                  <w:szCs w:val="20"/>
                </w:rPr>
                <w:t>nij.gov</w:t>
              </w:r>
            </w:hyperlink>
            <w:r w:rsidRPr="002B69B8">
              <w:rPr>
                <w:rFonts w:ascii="Palatino Linotype" w:hAnsi="Palatino Linotype" w:cs="Arial"/>
                <w:color w:val="333333"/>
                <w:sz w:val="20"/>
                <w:szCs w:val="20"/>
              </w:rPr>
              <w:t>.</w:t>
            </w:r>
          </w:p>
          <w:p w:rsidR="006B45A5" w:rsidRPr="002B69B8" w:rsidRDefault="006B45A5" w:rsidP="00E9169C">
            <w:pPr>
              <w:spacing w:line="240" w:lineRule="auto"/>
              <w:ind w:left="144"/>
              <w:contextualSpacing/>
              <w:rPr>
                <w:rFonts w:ascii="Palatino Linotype" w:hAnsi="Palatino Linotype"/>
                <w:sz w:val="20"/>
                <w:szCs w:val="20"/>
              </w:rPr>
            </w:pPr>
          </w:p>
          <w:p w:rsidR="006B45A5" w:rsidRPr="002B69B8" w:rsidRDefault="00E9169C" w:rsidP="00E9169C">
            <w:pPr>
              <w:spacing w:line="240" w:lineRule="auto"/>
              <w:ind w:left="144"/>
              <w:contextualSpacing/>
              <w:rPr>
                <w:rFonts w:ascii="Palatino Linotype" w:hAnsi="Palatino Linotype"/>
                <w:b/>
                <w:sz w:val="20"/>
                <w:szCs w:val="20"/>
                <w:u w:val="single"/>
              </w:rPr>
            </w:pPr>
            <w:bookmarkStart w:id="3" w:name="RETISS"/>
            <w:r>
              <w:rPr>
                <w:rFonts w:ascii="Palatino Linotype" w:hAnsi="Palatino Linotype"/>
                <w:b/>
                <w:sz w:val="20"/>
                <w:szCs w:val="20"/>
                <w:u w:val="single"/>
              </w:rPr>
              <w:t>Research and E</w:t>
            </w:r>
            <w:r w:rsidR="006B45A5" w:rsidRPr="002B69B8">
              <w:rPr>
                <w:rFonts w:ascii="Palatino Linotype" w:hAnsi="Palatino Linotype"/>
                <w:b/>
                <w:sz w:val="20"/>
                <w:szCs w:val="20"/>
                <w:u w:val="single"/>
              </w:rPr>
              <w:t xml:space="preserve">valuation of Technologies to Improve School Safety </w:t>
            </w:r>
          </w:p>
          <w:bookmarkEnd w:id="3"/>
          <w:p w:rsidR="006B45A5" w:rsidRPr="002B69B8" w:rsidRDefault="006B45A5" w:rsidP="00E9169C">
            <w:pPr>
              <w:spacing w:line="240" w:lineRule="auto"/>
              <w:ind w:left="144"/>
              <w:contextualSpacing/>
              <w:rPr>
                <w:rFonts w:ascii="Palatino Linotype" w:hAnsi="Palatino Linotype"/>
                <w:b/>
                <w:i/>
                <w:sz w:val="20"/>
                <w:szCs w:val="20"/>
              </w:rPr>
            </w:pPr>
            <w:r w:rsidRPr="002B69B8">
              <w:rPr>
                <w:rFonts w:ascii="Palatino Linotype" w:hAnsi="Palatino Linotype"/>
                <w:b/>
                <w:i/>
                <w:sz w:val="20"/>
                <w:szCs w:val="20"/>
              </w:rPr>
              <w:t>Department of Justice (Justice)</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This program seeks </w:t>
            </w:r>
            <w:r w:rsidRPr="002B69B8">
              <w:rPr>
                <w:rFonts w:ascii="Palatino Linotype" w:hAnsi="Palatino Linotype" w:cs="Arial"/>
                <w:sz w:val="20"/>
                <w:szCs w:val="20"/>
              </w:rPr>
              <w:t>applications to support projects to demonstrate and evaluate the application of technologies to improve school safety. NIJ is particularly interested in supporting projects likely to provide credible and objective knowledge that schools may use to more effectively prevent and respond to school shootings and other incidents involving mass violence.</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Applications are due May 10, 2018. For more information visit </w:t>
            </w:r>
            <w:hyperlink r:id="rId20" w:history="1">
              <w:r>
                <w:rPr>
                  <w:rStyle w:val="Hyperlink"/>
                  <w:rFonts w:ascii="Palatino Linotype" w:hAnsi="Palatino Linotype"/>
                  <w:sz w:val="20"/>
                  <w:szCs w:val="20"/>
                </w:rPr>
                <w:t>nij.gov</w:t>
              </w:r>
            </w:hyperlink>
            <w:r w:rsidRPr="002B69B8">
              <w:rPr>
                <w:rFonts w:ascii="Palatino Linotype" w:hAnsi="Palatino Linotype"/>
                <w:sz w:val="20"/>
                <w:szCs w:val="20"/>
              </w:rPr>
              <w:t>.</w:t>
            </w:r>
          </w:p>
          <w:p w:rsidR="006B45A5" w:rsidRPr="002B69B8" w:rsidRDefault="006B45A5" w:rsidP="00E9169C">
            <w:pPr>
              <w:spacing w:line="240" w:lineRule="auto"/>
              <w:ind w:left="144"/>
              <w:contextualSpacing/>
              <w:rPr>
                <w:rFonts w:ascii="Palatino Linotype" w:hAnsi="Palatino Linotype"/>
                <w:sz w:val="20"/>
                <w:szCs w:val="20"/>
              </w:rPr>
            </w:pPr>
          </w:p>
          <w:p w:rsidR="006B45A5" w:rsidRPr="002B69B8" w:rsidRDefault="006B45A5" w:rsidP="00E9169C">
            <w:pPr>
              <w:spacing w:after="0" w:line="240" w:lineRule="auto"/>
              <w:ind w:left="144"/>
              <w:contextualSpacing/>
              <w:rPr>
                <w:rFonts w:ascii="Palatino Linotype" w:hAnsi="Palatino Linotype"/>
                <w:b/>
                <w:sz w:val="20"/>
                <w:szCs w:val="20"/>
                <w:u w:val="single"/>
              </w:rPr>
            </w:pPr>
            <w:bookmarkStart w:id="4" w:name="RG"/>
            <w:r w:rsidRPr="002B69B8">
              <w:rPr>
                <w:rFonts w:ascii="Palatino Linotype" w:hAnsi="Palatino Linotype"/>
                <w:b/>
                <w:sz w:val="20"/>
                <w:szCs w:val="20"/>
                <w:u w:val="single"/>
              </w:rPr>
              <w:t>Research Grants</w:t>
            </w:r>
          </w:p>
          <w:bookmarkEnd w:id="4"/>
          <w:p w:rsidR="006B45A5" w:rsidRPr="002B69B8" w:rsidRDefault="006B45A5" w:rsidP="00E9169C">
            <w:pPr>
              <w:spacing w:after="0" w:line="240" w:lineRule="auto"/>
              <w:ind w:left="144"/>
              <w:contextualSpacing/>
              <w:rPr>
                <w:rFonts w:ascii="Palatino Linotype" w:hAnsi="Palatino Linotype"/>
                <w:b/>
                <w:i/>
                <w:sz w:val="20"/>
                <w:szCs w:val="20"/>
              </w:rPr>
            </w:pPr>
            <w:r w:rsidRPr="002B69B8">
              <w:rPr>
                <w:rFonts w:ascii="Palatino Linotype" w:hAnsi="Palatino Linotype"/>
                <w:b/>
                <w:i/>
                <w:sz w:val="20"/>
                <w:szCs w:val="20"/>
              </w:rPr>
              <w:t>William T. Grant Foundation</w:t>
            </w:r>
          </w:p>
          <w:p w:rsidR="006B45A5" w:rsidRPr="002B69B8" w:rsidRDefault="006B45A5" w:rsidP="00E9169C">
            <w:pPr>
              <w:spacing w:after="0" w:line="240" w:lineRule="auto"/>
              <w:ind w:left="144"/>
              <w:contextualSpacing/>
              <w:rPr>
                <w:rFonts w:ascii="Palatino Linotype" w:hAnsi="Palatino Linotype" w:cs="Arial"/>
                <w:sz w:val="20"/>
                <w:szCs w:val="20"/>
              </w:rPr>
            </w:pPr>
            <w:r w:rsidRPr="002B69B8">
              <w:rPr>
                <w:rFonts w:ascii="Palatino Linotype" w:hAnsi="Palatino Linotype"/>
                <w:sz w:val="20"/>
                <w:szCs w:val="20"/>
              </w:rPr>
              <w:t xml:space="preserve">This program seeks proposals for </w:t>
            </w:r>
            <w:r w:rsidRPr="002B69B8">
              <w:rPr>
                <w:rFonts w:ascii="Palatino Linotype" w:hAnsi="Palatino Linotype" w:cs="Arial"/>
                <w:sz w:val="20"/>
                <w:szCs w:val="20"/>
              </w:rPr>
              <w:t>early and mid-career scholars research that enhances understanding of how youth settings work, how they affect youth development and how they can be improved; and when, how and under what conditions research evidence is used.</w:t>
            </w:r>
          </w:p>
          <w:p w:rsidR="006B45A5" w:rsidRPr="002B69B8" w:rsidRDefault="006B45A5" w:rsidP="00E9169C">
            <w:pPr>
              <w:pStyle w:val="NormalWeb"/>
              <w:shd w:val="clear" w:color="auto" w:fill="FFFFFF"/>
              <w:spacing w:before="0" w:beforeAutospacing="0" w:after="0" w:afterAutospacing="0"/>
              <w:ind w:left="144"/>
              <w:contextualSpacing/>
              <w:textAlignment w:val="baseline"/>
              <w:rPr>
                <w:rFonts w:ascii="Palatino Linotype" w:hAnsi="Palatino Linotype" w:cs="Arial"/>
                <w:sz w:val="20"/>
                <w:szCs w:val="20"/>
              </w:rPr>
            </w:pPr>
            <w:r w:rsidRPr="002B69B8">
              <w:rPr>
                <w:rFonts w:ascii="Palatino Linotype" w:hAnsi="Palatino Linotype" w:cs="Arial"/>
                <w:sz w:val="20"/>
                <w:szCs w:val="20"/>
              </w:rPr>
              <w:t>The foundation funds research that increases understanding in one of our two focus areas:</w:t>
            </w:r>
            <w:r>
              <w:rPr>
                <w:rFonts w:ascii="Palatino Linotype" w:hAnsi="Palatino Linotype" w:cs="Arial"/>
                <w:sz w:val="20"/>
                <w:szCs w:val="20"/>
              </w:rPr>
              <w:t xml:space="preserve"> </w:t>
            </w:r>
            <w:r w:rsidRPr="002B69B8">
              <w:rPr>
                <w:rFonts w:ascii="Palatino Linotype" w:hAnsi="Palatino Linotype" w:cs="Arial"/>
                <w:sz w:val="20"/>
                <w:szCs w:val="20"/>
              </w:rPr>
              <w:t>1) programs, policies, and practices that </w:t>
            </w:r>
            <w:hyperlink r:id="rId21" w:history="1">
              <w:r w:rsidRPr="002B69B8">
                <w:rPr>
                  <w:rStyle w:val="Hyperlink"/>
                  <w:rFonts w:ascii="Palatino Linotype" w:hAnsi="Palatino Linotype" w:cs="Arial"/>
                  <w:color w:val="auto"/>
                  <w:sz w:val="20"/>
                  <w:szCs w:val="20"/>
                  <w:bdr w:val="none" w:sz="0" w:space="0" w:color="auto" w:frame="1"/>
                </w:rPr>
                <w:t>reduce inequality</w:t>
              </w:r>
            </w:hyperlink>
            <w:r w:rsidRPr="002B69B8">
              <w:rPr>
                <w:rFonts w:ascii="Palatino Linotype" w:hAnsi="Palatino Linotype" w:cs="Arial"/>
                <w:sz w:val="20"/>
                <w:szCs w:val="20"/>
              </w:rPr>
              <w:t> in youth outcomes, and 2)</w:t>
            </w:r>
            <w:r>
              <w:rPr>
                <w:rFonts w:ascii="Palatino Linotype" w:hAnsi="Palatino Linotype" w:cs="Arial"/>
                <w:sz w:val="20"/>
                <w:szCs w:val="20"/>
              </w:rPr>
              <w:t xml:space="preserve"> </w:t>
            </w:r>
            <w:r w:rsidRPr="002B69B8">
              <w:rPr>
                <w:rFonts w:ascii="Palatino Linotype" w:hAnsi="Palatino Linotype" w:cs="Arial"/>
                <w:sz w:val="20"/>
                <w:szCs w:val="20"/>
              </w:rPr>
              <w:t>strategies to </w:t>
            </w:r>
            <w:hyperlink r:id="rId22" w:history="1">
              <w:r w:rsidRPr="002B69B8">
                <w:rPr>
                  <w:rStyle w:val="Hyperlink"/>
                  <w:rFonts w:ascii="Palatino Linotype" w:hAnsi="Palatino Linotype" w:cs="Arial"/>
                  <w:color w:val="auto"/>
                  <w:sz w:val="20"/>
                  <w:szCs w:val="20"/>
                  <w:bdr w:val="none" w:sz="0" w:space="0" w:color="auto" w:frame="1"/>
                </w:rPr>
                <w:t>improve the use of research evidence</w:t>
              </w:r>
            </w:hyperlink>
            <w:r w:rsidRPr="002B69B8">
              <w:rPr>
                <w:rFonts w:ascii="Palatino Linotype" w:hAnsi="Palatino Linotype" w:cs="Arial"/>
                <w:sz w:val="20"/>
                <w:szCs w:val="20"/>
              </w:rPr>
              <w:t> in ways that benefit youth.</w:t>
            </w:r>
          </w:p>
          <w:p w:rsidR="006B45A5" w:rsidRPr="002B69B8" w:rsidRDefault="006B45A5" w:rsidP="00E9169C">
            <w:pPr>
              <w:spacing w:after="0" w:line="240" w:lineRule="auto"/>
              <w:ind w:left="144"/>
              <w:contextualSpacing/>
              <w:rPr>
                <w:rStyle w:val="Hyperlink"/>
                <w:rFonts w:ascii="Palatino Linotype" w:hAnsi="Palatino Linotype" w:cs="Arial"/>
                <w:color w:val="428BCA"/>
                <w:sz w:val="20"/>
                <w:szCs w:val="20"/>
              </w:rPr>
            </w:pPr>
            <w:r w:rsidRPr="002B69B8">
              <w:rPr>
                <w:rFonts w:ascii="Palatino Linotype" w:hAnsi="Palatino Linotype"/>
                <w:sz w:val="20"/>
                <w:szCs w:val="20"/>
              </w:rPr>
              <w:t xml:space="preserve">The next due date for letters of inquiry is May 02, 2018. For more information visit </w:t>
            </w:r>
            <w:hyperlink r:id="rId23" w:tgtFrame="_blank" w:history="1">
              <w:r>
                <w:rPr>
                  <w:rStyle w:val="Hyperlink"/>
                  <w:rFonts w:ascii="Palatino Linotype" w:hAnsi="Palatino Linotype" w:cs="Arial"/>
                  <w:color w:val="428BCA"/>
                  <w:sz w:val="20"/>
                  <w:szCs w:val="20"/>
                </w:rPr>
                <w:t>wtgrantfoundation.org</w:t>
              </w:r>
            </w:hyperlink>
            <w:r w:rsidRPr="002B69B8">
              <w:rPr>
                <w:rStyle w:val="Hyperlink"/>
                <w:rFonts w:ascii="Palatino Linotype" w:hAnsi="Palatino Linotype" w:cs="Arial"/>
                <w:color w:val="428BCA"/>
                <w:sz w:val="20"/>
                <w:szCs w:val="20"/>
              </w:rPr>
              <w:t>.</w:t>
            </w:r>
          </w:p>
          <w:p w:rsidR="006B45A5" w:rsidRPr="002B69B8" w:rsidRDefault="006B45A5" w:rsidP="00E9169C">
            <w:pPr>
              <w:spacing w:after="0" w:line="240" w:lineRule="auto"/>
              <w:ind w:left="144"/>
              <w:contextualSpacing/>
              <w:rPr>
                <w:rFonts w:ascii="Palatino Linotype" w:hAnsi="Palatino Linotype"/>
                <w:sz w:val="20"/>
                <w:szCs w:val="20"/>
              </w:rPr>
            </w:pPr>
          </w:p>
          <w:p w:rsidR="006B45A5" w:rsidRPr="002B69B8" w:rsidRDefault="006B45A5" w:rsidP="00E9169C">
            <w:pPr>
              <w:spacing w:line="240" w:lineRule="auto"/>
              <w:ind w:left="144"/>
              <w:contextualSpacing/>
              <w:rPr>
                <w:rFonts w:ascii="Palatino Linotype" w:hAnsi="Palatino Linotype"/>
                <w:b/>
                <w:sz w:val="20"/>
                <w:szCs w:val="20"/>
                <w:u w:val="single"/>
              </w:rPr>
            </w:pPr>
            <w:bookmarkStart w:id="5" w:name="HRICGP"/>
            <w:r w:rsidRPr="002B69B8">
              <w:rPr>
                <w:rFonts w:ascii="Palatino Linotype" w:hAnsi="Palatino Linotype"/>
                <w:b/>
                <w:sz w:val="20"/>
                <w:szCs w:val="20"/>
                <w:u w:val="single"/>
              </w:rPr>
              <w:t>HRI Competitive Grants Program</w:t>
            </w:r>
          </w:p>
          <w:bookmarkEnd w:id="5"/>
          <w:p w:rsidR="006B45A5" w:rsidRPr="002B69B8" w:rsidRDefault="006B45A5" w:rsidP="00E9169C">
            <w:pPr>
              <w:spacing w:line="240" w:lineRule="auto"/>
              <w:ind w:left="144"/>
              <w:contextualSpacing/>
              <w:rPr>
                <w:rFonts w:ascii="Palatino Linotype" w:hAnsi="Palatino Linotype"/>
                <w:b/>
                <w:i/>
                <w:sz w:val="20"/>
                <w:szCs w:val="20"/>
              </w:rPr>
            </w:pPr>
            <w:r w:rsidRPr="002B69B8">
              <w:rPr>
                <w:rFonts w:ascii="Palatino Linotype" w:hAnsi="Palatino Linotype"/>
                <w:b/>
                <w:i/>
                <w:sz w:val="20"/>
                <w:szCs w:val="20"/>
              </w:rPr>
              <w:t>Horticulture Research Institute</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This grant program supports </w:t>
            </w:r>
            <w:r w:rsidRPr="002B69B8">
              <w:rPr>
                <w:rFonts w:ascii="Palatino Linotype" w:hAnsi="Palatino Linotype" w:cs="Arial"/>
                <w:color w:val="333333"/>
                <w:sz w:val="20"/>
                <w:szCs w:val="20"/>
              </w:rPr>
              <w:t>research on green industry-related issues to address significant problems, regulatory issues, or emerging opportunities in the nursery and landscape industry; encourage environmentally responsible management practices; increase nursery crop producers' business or financial expertise; or improve and expand the market for plant material.</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The due date for proposals is May 31, 2018. For more information visit </w:t>
            </w:r>
            <w:hyperlink r:id="rId24" w:history="1">
              <w:r>
                <w:rPr>
                  <w:rStyle w:val="Hyperlink"/>
                  <w:rFonts w:ascii="Palatino Linotype" w:hAnsi="Palatino Linotype"/>
                  <w:sz w:val="20"/>
                  <w:szCs w:val="20"/>
                </w:rPr>
                <w:t>hriresearch.org</w:t>
              </w:r>
            </w:hyperlink>
            <w:r w:rsidRPr="002B69B8">
              <w:rPr>
                <w:rFonts w:ascii="Palatino Linotype" w:hAnsi="Palatino Linotype"/>
                <w:sz w:val="20"/>
                <w:szCs w:val="20"/>
              </w:rPr>
              <w:t>.</w:t>
            </w:r>
          </w:p>
          <w:p w:rsidR="006B45A5" w:rsidRPr="002B69B8" w:rsidRDefault="006B45A5" w:rsidP="00E9169C">
            <w:pPr>
              <w:spacing w:line="240" w:lineRule="auto"/>
              <w:ind w:left="144"/>
              <w:contextualSpacing/>
              <w:rPr>
                <w:rFonts w:ascii="Palatino Linotype" w:hAnsi="Palatino Linotype"/>
                <w:sz w:val="20"/>
                <w:szCs w:val="20"/>
              </w:rPr>
            </w:pPr>
          </w:p>
          <w:p w:rsidR="006B45A5" w:rsidRPr="002B69B8" w:rsidRDefault="00E9169C" w:rsidP="00E9169C">
            <w:pPr>
              <w:spacing w:line="240" w:lineRule="auto"/>
              <w:ind w:left="144"/>
              <w:contextualSpacing/>
              <w:rPr>
                <w:rFonts w:ascii="Palatino Linotype" w:hAnsi="Palatino Linotype"/>
                <w:b/>
                <w:sz w:val="20"/>
                <w:szCs w:val="20"/>
                <w:u w:val="single"/>
              </w:rPr>
            </w:pPr>
            <w:bookmarkStart w:id="6" w:name="NEAFG"/>
            <w:r>
              <w:rPr>
                <w:rFonts w:ascii="Palatino Linotype" w:hAnsi="Palatino Linotype"/>
                <w:b/>
                <w:sz w:val="20"/>
                <w:szCs w:val="20"/>
                <w:u w:val="single"/>
              </w:rPr>
              <w:t>NEA F</w:t>
            </w:r>
            <w:r w:rsidR="006B45A5" w:rsidRPr="002B69B8">
              <w:rPr>
                <w:rFonts w:ascii="Palatino Linotype" w:hAnsi="Palatino Linotype"/>
                <w:b/>
                <w:sz w:val="20"/>
                <w:szCs w:val="20"/>
                <w:u w:val="single"/>
              </w:rPr>
              <w:t>oundation Grants</w:t>
            </w:r>
          </w:p>
          <w:bookmarkEnd w:id="6"/>
          <w:p w:rsidR="006B45A5" w:rsidRPr="002B69B8" w:rsidRDefault="006B45A5" w:rsidP="00E9169C">
            <w:pPr>
              <w:spacing w:line="240" w:lineRule="auto"/>
              <w:ind w:left="144"/>
              <w:contextualSpacing/>
              <w:rPr>
                <w:rFonts w:ascii="Palatino Linotype" w:hAnsi="Palatino Linotype"/>
                <w:b/>
                <w:i/>
                <w:sz w:val="20"/>
                <w:szCs w:val="20"/>
              </w:rPr>
            </w:pPr>
            <w:r w:rsidRPr="002B69B8">
              <w:rPr>
                <w:rFonts w:ascii="Palatino Linotype" w:hAnsi="Palatino Linotype"/>
                <w:b/>
                <w:i/>
                <w:sz w:val="20"/>
                <w:szCs w:val="20"/>
              </w:rPr>
              <w:t xml:space="preserve">National Education Association Foundation </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The NEA Foundation provides grants to</w:t>
            </w:r>
            <w:r w:rsidRPr="002B69B8">
              <w:rPr>
                <w:rFonts w:ascii="Palatino Linotype" w:hAnsi="Palatino Linotype" w:cs="Arial"/>
                <w:sz w:val="20"/>
                <w:szCs w:val="20"/>
              </w:rPr>
              <w:t xml:space="preserve"> improve academic achievement of students in U.S. public schools and public higher education institutions in any subject areas. Global Achievement Grants supports the development and integration of global competencies into their daily classroom instruction. Student Achievement Grants support initiatives to improve academic achievement. Learning and Leadership Grants support high-quality professional development for individuals and groups. Applicants must be NEA members.</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The next due date for proposals for Student Achievement and Learning &amp; Leadership is June 01, 2018. For more information visit </w:t>
            </w:r>
            <w:hyperlink r:id="rId25" w:tgtFrame="_blank" w:history="1">
              <w:r>
                <w:rPr>
                  <w:rStyle w:val="Hyperlink"/>
                  <w:rFonts w:ascii="Palatino Linotype" w:hAnsi="Palatino Linotype" w:cs="Arial"/>
                  <w:color w:val="428BCA"/>
                  <w:sz w:val="20"/>
                  <w:szCs w:val="20"/>
                </w:rPr>
                <w:t>neafoundation.org</w:t>
              </w:r>
            </w:hyperlink>
            <w:r w:rsidRPr="002B69B8">
              <w:rPr>
                <w:rFonts w:ascii="Palatino Linotype" w:hAnsi="Palatino Linotype" w:cs="Arial"/>
                <w:color w:val="333333"/>
                <w:sz w:val="20"/>
                <w:szCs w:val="20"/>
              </w:rPr>
              <w:t>.</w:t>
            </w:r>
          </w:p>
          <w:p w:rsidR="006B45A5" w:rsidRPr="002B69B8" w:rsidRDefault="006B45A5" w:rsidP="00E9169C">
            <w:pPr>
              <w:pStyle w:val="NormalWeb"/>
              <w:shd w:val="clear" w:color="auto" w:fill="FFFFFF"/>
              <w:spacing w:before="0" w:beforeAutospacing="0" w:after="0" w:afterAutospacing="0"/>
              <w:ind w:left="144"/>
              <w:contextualSpacing/>
              <w:rPr>
                <w:rFonts w:ascii="Palatino Linotype" w:hAnsi="Palatino Linotype"/>
                <w:b/>
                <w:sz w:val="20"/>
                <w:szCs w:val="20"/>
                <w:u w:val="single"/>
              </w:rPr>
            </w:pPr>
            <w:bookmarkStart w:id="7" w:name="SREEP"/>
            <w:r w:rsidRPr="002B69B8">
              <w:rPr>
                <w:rFonts w:ascii="Palatino Linotype" w:hAnsi="Palatino Linotype"/>
                <w:b/>
                <w:sz w:val="20"/>
                <w:szCs w:val="20"/>
                <w:u w:val="single"/>
              </w:rPr>
              <w:t>Summer Research Education Experience Programs</w:t>
            </w:r>
          </w:p>
          <w:bookmarkEnd w:id="7"/>
          <w:p w:rsidR="006B45A5" w:rsidRPr="002B69B8" w:rsidRDefault="006B45A5" w:rsidP="00E9169C">
            <w:pPr>
              <w:pStyle w:val="NormalWeb"/>
              <w:shd w:val="clear" w:color="auto" w:fill="FFFFFF"/>
              <w:spacing w:before="0" w:beforeAutospacing="0" w:after="0" w:afterAutospacing="0"/>
              <w:ind w:left="144"/>
              <w:contextualSpacing/>
              <w:rPr>
                <w:rFonts w:ascii="Palatino Linotype" w:hAnsi="Palatino Linotype"/>
                <w:b/>
                <w:i/>
                <w:sz w:val="20"/>
                <w:szCs w:val="20"/>
              </w:rPr>
            </w:pPr>
            <w:r w:rsidRPr="002B69B8">
              <w:rPr>
                <w:rFonts w:ascii="Palatino Linotype" w:hAnsi="Palatino Linotype"/>
                <w:b/>
                <w:i/>
                <w:sz w:val="20"/>
                <w:szCs w:val="20"/>
              </w:rPr>
              <w:t>National Institutes of Health (NIH)</w:t>
            </w:r>
          </w:p>
          <w:p w:rsidR="006B45A5" w:rsidRPr="002B69B8" w:rsidRDefault="006B45A5" w:rsidP="00E9169C">
            <w:pPr>
              <w:pStyle w:val="NormalWeb"/>
              <w:shd w:val="clear" w:color="auto" w:fill="FFFFFF"/>
              <w:spacing w:before="0" w:beforeAutospacing="0" w:after="0" w:afterAutospacing="0"/>
              <w:ind w:left="144"/>
              <w:contextualSpacing/>
              <w:rPr>
                <w:rFonts w:ascii="Palatino Linotype" w:hAnsi="Palatino Linotype"/>
                <w:sz w:val="20"/>
                <w:szCs w:val="20"/>
              </w:rPr>
            </w:pPr>
            <w:r w:rsidRPr="002B69B8">
              <w:rPr>
                <w:rStyle w:val="search-custom"/>
                <w:rFonts w:ascii="Palatino Linotype" w:hAnsi="Palatino Linotype" w:cs="Arial"/>
                <w:sz w:val="20"/>
                <w:szCs w:val="20"/>
              </w:rPr>
              <w:t>The NIH Research Education Program (R25) supports research education activities in the mission areas of the NIH. The over-arching goal of this R25 program is to support educational activities that foster a better understanding of biomedical, behavioral and clinical research and its implications. To accomplish the stated over-arching goal, this FOA will support creative educational activities with a primary focus on Research Experiences for high school, undergraduate and science teachers during the summer academic break.</w:t>
            </w:r>
          </w:p>
          <w:p w:rsidR="006B45A5" w:rsidRPr="002B69B8" w:rsidRDefault="006B45A5" w:rsidP="00E9169C">
            <w:pPr>
              <w:pStyle w:val="NormalWeb"/>
              <w:shd w:val="clear" w:color="auto" w:fill="FFFFFF"/>
              <w:spacing w:before="0" w:beforeAutospacing="0" w:after="0" w:afterAutospacing="0"/>
              <w:ind w:left="144"/>
              <w:contextualSpacing/>
              <w:rPr>
                <w:rFonts w:ascii="Palatino Linotype" w:hAnsi="Palatino Linotype"/>
                <w:color w:val="444444"/>
                <w:sz w:val="20"/>
                <w:szCs w:val="20"/>
              </w:rPr>
            </w:pPr>
            <w:r w:rsidRPr="002B69B8">
              <w:rPr>
                <w:rFonts w:ascii="Palatino Linotype" w:hAnsi="Palatino Linotype"/>
                <w:sz w:val="20"/>
                <w:szCs w:val="20"/>
              </w:rPr>
              <w:t xml:space="preserve">The deadline for proposals is May 23, 2018. For more information visit </w:t>
            </w:r>
            <w:hyperlink r:id="rId26" w:tgtFrame="_blank" w:tooltip="Link to Additional Information" w:history="1">
              <w:r>
                <w:rPr>
                  <w:rStyle w:val="Hyperlink"/>
                  <w:rFonts w:ascii="Palatino Linotype" w:hAnsi="Palatino Linotype" w:cs="Arial"/>
                  <w:color w:val="0000CC"/>
                  <w:sz w:val="20"/>
                  <w:szCs w:val="20"/>
                </w:rPr>
                <w:t>nih.gov</w:t>
              </w:r>
            </w:hyperlink>
            <w:r w:rsidRPr="002B69B8">
              <w:rPr>
                <w:rStyle w:val="Hyperlink"/>
                <w:rFonts w:ascii="Palatino Linotype" w:hAnsi="Palatino Linotype" w:cs="Arial"/>
                <w:color w:val="0000CC"/>
                <w:sz w:val="20"/>
                <w:szCs w:val="20"/>
              </w:rPr>
              <w:t>.</w:t>
            </w:r>
          </w:p>
          <w:p w:rsidR="006B45A5" w:rsidRPr="002B69B8" w:rsidRDefault="006B45A5" w:rsidP="00E9169C">
            <w:pPr>
              <w:spacing w:line="240" w:lineRule="auto"/>
              <w:ind w:left="144"/>
              <w:contextualSpacing/>
              <w:rPr>
                <w:rFonts w:ascii="Palatino Linotype" w:hAnsi="Palatino Linotype"/>
                <w:sz w:val="20"/>
                <w:szCs w:val="20"/>
              </w:rPr>
            </w:pPr>
          </w:p>
          <w:p w:rsidR="006B45A5" w:rsidRPr="002B69B8" w:rsidRDefault="006B45A5" w:rsidP="00E9169C">
            <w:pPr>
              <w:spacing w:after="0" w:line="240" w:lineRule="auto"/>
              <w:ind w:left="144"/>
              <w:contextualSpacing/>
              <w:rPr>
                <w:rFonts w:ascii="Palatino Linotype" w:hAnsi="Palatino Linotype"/>
                <w:b/>
                <w:sz w:val="20"/>
                <w:szCs w:val="20"/>
                <w:u w:val="single"/>
              </w:rPr>
            </w:pPr>
            <w:bookmarkStart w:id="8" w:name="HSGMP"/>
            <w:r w:rsidRPr="002B69B8">
              <w:rPr>
                <w:rFonts w:ascii="Palatino Linotype" w:hAnsi="Palatino Linotype"/>
                <w:b/>
                <w:sz w:val="20"/>
                <w:szCs w:val="20"/>
                <w:u w:val="single"/>
              </w:rPr>
              <w:t>The Health of Sexual and Gender Minority (SGM) Populations</w:t>
            </w:r>
          </w:p>
          <w:bookmarkEnd w:id="8"/>
          <w:p w:rsidR="006B45A5" w:rsidRPr="002B69B8" w:rsidRDefault="006B45A5" w:rsidP="00E9169C">
            <w:pPr>
              <w:spacing w:after="0" w:line="240" w:lineRule="auto"/>
              <w:ind w:left="144"/>
              <w:contextualSpacing/>
              <w:rPr>
                <w:rFonts w:ascii="Palatino Linotype" w:hAnsi="Palatino Linotype"/>
                <w:b/>
                <w:i/>
                <w:sz w:val="20"/>
                <w:szCs w:val="20"/>
              </w:rPr>
            </w:pPr>
            <w:r w:rsidRPr="002B69B8">
              <w:rPr>
                <w:rFonts w:ascii="Palatino Linotype" w:hAnsi="Palatino Linotype"/>
                <w:b/>
                <w:i/>
                <w:sz w:val="20"/>
                <w:szCs w:val="20"/>
              </w:rPr>
              <w:t>National Institutes of Health (NIH)</w:t>
            </w:r>
          </w:p>
          <w:p w:rsidR="006B45A5" w:rsidRPr="002B69B8" w:rsidRDefault="006B45A5" w:rsidP="00E9169C">
            <w:pPr>
              <w:spacing w:after="0" w:line="240" w:lineRule="auto"/>
              <w:ind w:left="144"/>
              <w:contextualSpacing/>
              <w:rPr>
                <w:rFonts w:ascii="Palatino Linotype" w:hAnsi="Palatino Linotype" w:cs="Arial"/>
                <w:sz w:val="20"/>
                <w:szCs w:val="20"/>
              </w:rPr>
            </w:pPr>
            <w:r w:rsidRPr="002B69B8">
              <w:rPr>
                <w:rFonts w:ascii="Palatino Linotype" w:hAnsi="Palatino Linotype"/>
                <w:sz w:val="20"/>
                <w:szCs w:val="20"/>
                <w:shd w:val="clear" w:color="auto" w:fill="FFFFFF"/>
              </w:rPr>
              <w:t>The (NIH) is committed to supporting research that will increase scientific understanding of the health status of diverse population groups and thereby improve the effectiveness of health interventions and services for individuals within those groups.  Priority is placed on understudied populations with distinctive health risk profiles. This grant focuses on sexual and gender minority (SGM) populations, including lesbian, gay, bisexual, transgender, and intersex populations.  Basic, social, behavioral, clinical, and services research relevant to the missions of the sponsoring Institutes and Centers may be proposed.</w:t>
            </w:r>
          </w:p>
          <w:p w:rsidR="006B45A5" w:rsidRDefault="006B45A5" w:rsidP="00E9169C">
            <w:pPr>
              <w:spacing w:after="0" w:line="240" w:lineRule="auto"/>
              <w:ind w:left="144"/>
              <w:contextualSpacing/>
              <w:rPr>
                <w:rFonts w:ascii="Palatino Linotype" w:hAnsi="Palatino Linotype" w:cs="Arial"/>
                <w:color w:val="333333"/>
                <w:sz w:val="20"/>
                <w:szCs w:val="20"/>
              </w:rPr>
            </w:pPr>
            <w:r w:rsidRPr="002B69B8">
              <w:rPr>
                <w:rFonts w:ascii="Palatino Linotype" w:hAnsi="Palatino Linotype" w:cs="Arial"/>
                <w:sz w:val="20"/>
                <w:szCs w:val="20"/>
              </w:rPr>
              <w:t xml:space="preserve">The deadline for proposals is June 25, 2018. For more information visit </w:t>
            </w:r>
            <w:hyperlink r:id="rId27" w:history="1">
              <w:r>
                <w:rPr>
                  <w:rStyle w:val="Hyperlink"/>
                  <w:rFonts w:ascii="Palatino Linotype" w:hAnsi="Palatino Linotype" w:cs="Arial"/>
                  <w:sz w:val="20"/>
                  <w:szCs w:val="20"/>
                </w:rPr>
                <w:t>nih.gov</w:t>
              </w:r>
            </w:hyperlink>
            <w:r w:rsidRPr="002B69B8">
              <w:rPr>
                <w:rFonts w:ascii="Palatino Linotype" w:hAnsi="Palatino Linotype" w:cs="Arial"/>
                <w:color w:val="333333"/>
                <w:sz w:val="20"/>
                <w:szCs w:val="20"/>
              </w:rPr>
              <w:t>.</w:t>
            </w:r>
          </w:p>
          <w:p w:rsidR="006B45A5" w:rsidRDefault="006B45A5" w:rsidP="00E9169C">
            <w:pPr>
              <w:spacing w:after="0" w:line="240" w:lineRule="auto"/>
              <w:ind w:left="144"/>
              <w:contextualSpacing/>
              <w:rPr>
                <w:rFonts w:ascii="Palatino Linotype" w:hAnsi="Palatino Linotype" w:cs="Arial"/>
                <w:color w:val="333333"/>
                <w:sz w:val="20"/>
                <w:szCs w:val="20"/>
              </w:rPr>
            </w:pPr>
          </w:p>
          <w:p w:rsidR="006B45A5" w:rsidRPr="002B69B8" w:rsidRDefault="006B45A5" w:rsidP="00E9169C">
            <w:pPr>
              <w:spacing w:line="240" w:lineRule="auto"/>
              <w:ind w:left="144"/>
              <w:contextualSpacing/>
              <w:rPr>
                <w:rFonts w:ascii="Palatino Linotype" w:hAnsi="Palatino Linotype"/>
                <w:b/>
                <w:sz w:val="20"/>
                <w:szCs w:val="20"/>
                <w:u w:val="single"/>
              </w:rPr>
            </w:pPr>
            <w:bookmarkStart w:id="9" w:name="AWGP"/>
            <w:r w:rsidRPr="002B69B8">
              <w:rPr>
                <w:rFonts w:ascii="Palatino Linotype" w:hAnsi="Palatino Linotype"/>
                <w:b/>
                <w:sz w:val="20"/>
                <w:szCs w:val="20"/>
                <w:u w:val="single"/>
              </w:rPr>
              <w:t>Arts Writers Grant Program</w:t>
            </w:r>
            <w:bookmarkEnd w:id="9"/>
          </w:p>
          <w:p w:rsidR="006B45A5" w:rsidRPr="002B69B8" w:rsidRDefault="006B45A5" w:rsidP="00E9169C">
            <w:pPr>
              <w:spacing w:line="240" w:lineRule="auto"/>
              <w:ind w:left="144"/>
              <w:contextualSpacing/>
              <w:rPr>
                <w:rFonts w:ascii="Palatino Linotype" w:hAnsi="Palatino Linotype"/>
                <w:b/>
                <w:i/>
                <w:sz w:val="20"/>
                <w:szCs w:val="20"/>
              </w:rPr>
            </w:pPr>
            <w:r w:rsidRPr="002B69B8">
              <w:rPr>
                <w:rFonts w:ascii="Palatino Linotype" w:hAnsi="Palatino Linotype"/>
                <w:b/>
                <w:i/>
                <w:sz w:val="20"/>
                <w:szCs w:val="20"/>
              </w:rPr>
              <w:t>Andy Warhol Foundation for the Visual Arts</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This program supports </w:t>
            </w:r>
            <w:r w:rsidRPr="002B69B8">
              <w:rPr>
                <w:rFonts w:ascii="Palatino Linotype" w:hAnsi="Palatino Linotype" w:cs="Arial"/>
                <w:sz w:val="20"/>
                <w:szCs w:val="20"/>
              </w:rPr>
              <w:t>writers whose work addresses contemporary visual art through project-based grants. The Arts Writers Grant Program aims to support the broad spectrum of writing on contemporary visual art, from general-audience criticism to academic scholarship. Writers are invited to apply in the following categories: Articles, Blogs, Books, New and Alternative Media, and Short-Form Writing.</w:t>
            </w:r>
          </w:p>
          <w:p w:rsidR="006B45A5" w:rsidRPr="002B69B8" w:rsidRDefault="006B45A5" w:rsidP="00E9169C">
            <w:pPr>
              <w:spacing w:line="240" w:lineRule="auto"/>
              <w:ind w:left="144"/>
              <w:contextualSpacing/>
              <w:rPr>
                <w:rFonts w:ascii="Palatino Linotype" w:hAnsi="Palatino Linotype"/>
                <w:sz w:val="20"/>
                <w:szCs w:val="20"/>
              </w:rPr>
            </w:pPr>
            <w:r w:rsidRPr="002B69B8">
              <w:rPr>
                <w:rFonts w:ascii="Palatino Linotype" w:hAnsi="Palatino Linotype"/>
                <w:sz w:val="20"/>
                <w:szCs w:val="20"/>
              </w:rPr>
              <w:t xml:space="preserve">The deadline for proposals is May 21, 2018. For more information visit </w:t>
            </w:r>
            <w:hyperlink r:id="rId28" w:history="1">
              <w:r>
                <w:rPr>
                  <w:rStyle w:val="Hyperlink"/>
                  <w:rFonts w:ascii="Palatino Linotype" w:hAnsi="Palatino Linotype"/>
                  <w:sz w:val="20"/>
                  <w:szCs w:val="20"/>
                </w:rPr>
                <w:t>warholfoundation.org</w:t>
              </w:r>
            </w:hyperlink>
            <w:r w:rsidRPr="002B69B8">
              <w:rPr>
                <w:rFonts w:ascii="Palatino Linotype" w:hAnsi="Palatino Linotype"/>
                <w:sz w:val="20"/>
                <w:szCs w:val="20"/>
              </w:rPr>
              <w:t>.</w:t>
            </w:r>
          </w:p>
          <w:p w:rsidR="006B45A5" w:rsidRPr="002B69B8" w:rsidRDefault="006B45A5" w:rsidP="00E9169C">
            <w:pPr>
              <w:spacing w:after="0" w:line="240" w:lineRule="auto"/>
              <w:ind w:left="144"/>
              <w:contextualSpacing/>
              <w:rPr>
                <w:rFonts w:ascii="Palatino Linotype" w:hAnsi="Palatino Linotype" w:cs="Arial"/>
                <w:color w:val="333333"/>
                <w:sz w:val="20"/>
                <w:szCs w:val="20"/>
              </w:rPr>
            </w:pPr>
          </w:p>
          <w:p w:rsidR="006B45A5" w:rsidRPr="002B69B8" w:rsidRDefault="006B45A5" w:rsidP="00E9169C">
            <w:pPr>
              <w:shd w:val="clear" w:color="auto" w:fill="FFFFFF"/>
              <w:spacing w:after="0" w:line="240" w:lineRule="auto"/>
              <w:ind w:left="144"/>
              <w:rPr>
                <w:rFonts w:ascii="Palatino Linotype" w:hAnsi="Palatino Linotype"/>
                <w:b/>
                <w:sz w:val="20"/>
                <w:szCs w:val="20"/>
                <w:u w:val="single"/>
              </w:rPr>
            </w:pPr>
            <w:bookmarkStart w:id="10" w:name="EEJF"/>
            <w:bookmarkStart w:id="11" w:name="GP"/>
            <w:r w:rsidRPr="002B69B8">
              <w:rPr>
                <w:rFonts w:ascii="Palatino Linotype" w:hAnsi="Palatino Linotype"/>
                <w:b/>
                <w:sz w:val="20"/>
                <w:szCs w:val="20"/>
                <w:u w:val="single"/>
              </w:rPr>
              <w:t>Grants Program</w:t>
            </w:r>
          </w:p>
          <w:bookmarkEnd w:id="10"/>
          <w:bookmarkEnd w:id="11"/>
          <w:p w:rsidR="006B45A5" w:rsidRPr="002B69B8" w:rsidRDefault="006B45A5" w:rsidP="00E9169C">
            <w:pPr>
              <w:shd w:val="clear" w:color="auto" w:fill="FFFFFF"/>
              <w:spacing w:after="0" w:line="240" w:lineRule="auto"/>
              <w:ind w:left="144"/>
              <w:rPr>
                <w:rFonts w:ascii="Palatino Linotype" w:hAnsi="Palatino Linotype"/>
                <w:b/>
                <w:i/>
                <w:sz w:val="20"/>
                <w:szCs w:val="20"/>
              </w:rPr>
            </w:pPr>
            <w:r w:rsidRPr="002B69B8">
              <w:rPr>
                <w:rFonts w:ascii="Palatino Linotype" w:hAnsi="Palatino Linotype"/>
                <w:b/>
                <w:i/>
                <w:sz w:val="20"/>
                <w:szCs w:val="20"/>
              </w:rPr>
              <w:t>Ethics and Excellence in Journalism Foundation</w:t>
            </w:r>
          </w:p>
          <w:p w:rsidR="006B45A5" w:rsidRPr="002B69B8" w:rsidRDefault="006B45A5" w:rsidP="00E9169C">
            <w:pPr>
              <w:shd w:val="clear" w:color="auto" w:fill="FFFFFF"/>
              <w:spacing w:after="0" w:line="240" w:lineRule="auto"/>
              <w:ind w:left="144"/>
              <w:rPr>
                <w:rFonts w:ascii="Palatino Linotype" w:hAnsi="Palatino Linotype"/>
                <w:sz w:val="20"/>
                <w:szCs w:val="20"/>
              </w:rPr>
            </w:pPr>
            <w:r w:rsidRPr="002B69B8">
              <w:rPr>
                <w:rFonts w:ascii="Palatino Linotype" w:hAnsi="Palatino Linotype"/>
                <w:sz w:val="20"/>
                <w:szCs w:val="20"/>
              </w:rPr>
              <w:t xml:space="preserve">This program supports creative projects and academic research that promote the pursuit of excellence and adherence to high ethical standards in journalism. </w:t>
            </w:r>
          </w:p>
          <w:p w:rsidR="006B45A5" w:rsidRPr="002B69B8" w:rsidRDefault="006B45A5" w:rsidP="00E9169C">
            <w:pPr>
              <w:shd w:val="clear" w:color="auto" w:fill="FFFFFF"/>
              <w:spacing w:after="0" w:line="240" w:lineRule="auto"/>
              <w:ind w:left="144"/>
              <w:rPr>
                <w:rFonts w:ascii="Palatino Linotype" w:hAnsi="Palatino Linotype"/>
                <w:sz w:val="20"/>
                <w:szCs w:val="20"/>
              </w:rPr>
            </w:pPr>
            <w:r w:rsidRPr="002B69B8">
              <w:rPr>
                <w:rFonts w:ascii="Palatino Linotype" w:hAnsi="Palatino Linotype"/>
                <w:sz w:val="20"/>
                <w:szCs w:val="20"/>
              </w:rPr>
              <w:t xml:space="preserve">A letter of intent, which must be approved before submitting a full application, is due May 15, 2018. For more information visit </w:t>
            </w:r>
            <w:hyperlink r:id="rId29" w:history="1">
              <w:r w:rsidRPr="002B69B8">
                <w:rPr>
                  <w:rStyle w:val="Hyperlink"/>
                  <w:rFonts w:ascii="Palatino Linotype" w:hAnsi="Palatino Linotype"/>
                  <w:sz w:val="20"/>
                  <w:szCs w:val="20"/>
                </w:rPr>
                <w:t>inasmuchfoundation.org</w:t>
              </w:r>
            </w:hyperlink>
            <w:r w:rsidRPr="002B69B8">
              <w:rPr>
                <w:rFonts w:ascii="Palatino Linotype" w:hAnsi="Palatino Linotype"/>
                <w:sz w:val="20"/>
                <w:szCs w:val="20"/>
              </w:rPr>
              <w:t>.</w:t>
            </w:r>
          </w:p>
          <w:p w:rsidR="006B45A5" w:rsidRPr="002B69B8" w:rsidRDefault="006B45A5" w:rsidP="00E9169C">
            <w:pPr>
              <w:spacing w:after="0" w:line="240" w:lineRule="auto"/>
              <w:ind w:left="144"/>
              <w:contextualSpacing/>
              <w:rPr>
                <w:rFonts w:ascii="Palatino Linotype" w:hAnsi="Palatino Linotype"/>
                <w:sz w:val="20"/>
                <w:szCs w:val="20"/>
              </w:rPr>
            </w:pPr>
          </w:p>
          <w:p w:rsidR="006B45A5" w:rsidRPr="002B69B8" w:rsidRDefault="00E9169C" w:rsidP="00E9169C">
            <w:pPr>
              <w:shd w:val="clear" w:color="auto" w:fill="FFFFFF"/>
              <w:spacing w:after="0" w:line="240" w:lineRule="auto"/>
              <w:ind w:left="144"/>
              <w:contextualSpacing/>
              <w:rPr>
                <w:rFonts w:ascii="Palatino Linotype" w:hAnsi="Palatino Linotype" w:cs="Arial"/>
                <w:b/>
                <w:sz w:val="20"/>
                <w:szCs w:val="20"/>
                <w:u w:val="single"/>
              </w:rPr>
            </w:pPr>
            <w:bookmarkStart w:id="12" w:name="NUCFCCSGP"/>
            <w:r>
              <w:rPr>
                <w:rFonts w:ascii="Palatino Linotype" w:hAnsi="Palatino Linotype" w:cs="Arial"/>
                <w:b/>
                <w:sz w:val="20"/>
                <w:szCs w:val="20"/>
                <w:u w:val="single"/>
              </w:rPr>
              <w:t>National Urban and C</w:t>
            </w:r>
            <w:r w:rsidR="006B45A5" w:rsidRPr="002B69B8">
              <w:rPr>
                <w:rFonts w:ascii="Palatino Linotype" w:hAnsi="Palatino Linotype" w:cs="Arial"/>
                <w:b/>
                <w:sz w:val="20"/>
                <w:szCs w:val="20"/>
                <w:u w:val="single"/>
              </w:rPr>
              <w:t>ommunity Forestry Challenge Cost Share Grant Program</w:t>
            </w:r>
          </w:p>
          <w:bookmarkEnd w:id="12"/>
          <w:p w:rsidR="006B45A5" w:rsidRPr="002B69B8" w:rsidRDefault="006B45A5" w:rsidP="00E9169C">
            <w:pPr>
              <w:shd w:val="clear" w:color="auto" w:fill="FFFFFF"/>
              <w:spacing w:after="0" w:line="240" w:lineRule="auto"/>
              <w:ind w:left="144"/>
              <w:contextualSpacing/>
              <w:rPr>
                <w:rFonts w:ascii="Palatino Linotype" w:hAnsi="Palatino Linotype" w:cs="Arial"/>
                <w:b/>
                <w:i/>
                <w:sz w:val="20"/>
                <w:szCs w:val="20"/>
              </w:rPr>
            </w:pPr>
            <w:r w:rsidRPr="002B69B8">
              <w:rPr>
                <w:rFonts w:ascii="Palatino Linotype" w:hAnsi="Palatino Linotype" w:cs="Arial"/>
                <w:b/>
                <w:i/>
                <w:sz w:val="20"/>
                <w:szCs w:val="20"/>
              </w:rPr>
              <w:t>U.S. Department of Agriculture</w:t>
            </w:r>
          </w:p>
          <w:p w:rsidR="006B45A5" w:rsidRPr="002B69B8" w:rsidRDefault="006B45A5" w:rsidP="00E9169C">
            <w:pPr>
              <w:shd w:val="clear" w:color="auto" w:fill="FFFFFF"/>
              <w:spacing w:after="0" w:line="240" w:lineRule="auto"/>
              <w:ind w:left="144"/>
              <w:contextualSpacing/>
              <w:rPr>
                <w:rFonts w:ascii="Palatino Linotype" w:hAnsi="Palatino Linotype" w:cs="Arial"/>
                <w:sz w:val="20"/>
                <w:szCs w:val="20"/>
              </w:rPr>
            </w:pPr>
            <w:r w:rsidRPr="002B69B8">
              <w:rPr>
                <w:rFonts w:ascii="Palatino Linotype" w:hAnsi="Palatino Linotype" w:cs="Arial"/>
                <w:sz w:val="20"/>
                <w:szCs w:val="20"/>
              </w:rPr>
              <w:t>This program supports collaborative national urban forestry studies or projects on nonfederal public land that have a national, regional or multi-state coverage and / or application. FY 18 projects should increase knowledge about, or understanding of, how urban planting, inventory, and, analysis of urban forest natural resources contributes to the health, energy, ecological, economic, and other critical benefits urban forests provide communities and in improving human well-being. Deadline is for required pre-proposal.</w:t>
            </w:r>
          </w:p>
          <w:p w:rsidR="00EA011A" w:rsidRPr="008F23DE" w:rsidRDefault="006B45A5" w:rsidP="008F23DE">
            <w:pPr>
              <w:shd w:val="clear" w:color="auto" w:fill="FFFFFF"/>
              <w:spacing w:after="0" w:line="240" w:lineRule="auto"/>
              <w:ind w:left="144"/>
              <w:contextualSpacing/>
              <w:rPr>
                <w:rFonts w:ascii="Palatino Linotype" w:hAnsi="Palatino Linotype" w:cs="Arial"/>
                <w:color w:val="333333"/>
                <w:sz w:val="20"/>
                <w:szCs w:val="20"/>
              </w:rPr>
            </w:pPr>
            <w:r w:rsidRPr="002B69B8">
              <w:rPr>
                <w:rFonts w:ascii="Palatino Linotype" w:hAnsi="Palatino Linotype" w:cs="Arial"/>
                <w:sz w:val="20"/>
                <w:szCs w:val="20"/>
              </w:rPr>
              <w:t xml:space="preserve">The deadline for required pre-proposals is May 24, 2018. For more information visit </w:t>
            </w:r>
            <w:hyperlink r:id="rId30" w:tgtFrame="_blank" w:history="1">
              <w:r>
                <w:rPr>
                  <w:rStyle w:val="Hyperlink"/>
                  <w:rFonts w:ascii="Palatino Linotype" w:hAnsi="Palatino Linotype" w:cs="Arial"/>
                  <w:color w:val="428BCA"/>
                  <w:sz w:val="20"/>
                  <w:szCs w:val="20"/>
                </w:rPr>
                <w:t>fs.fed.us</w:t>
              </w:r>
            </w:hyperlink>
            <w:r w:rsidRPr="002B69B8">
              <w:rPr>
                <w:rStyle w:val="Hyperlink"/>
                <w:rFonts w:ascii="Palatino Linotype" w:hAnsi="Palatino Linotype" w:cs="Arial"/>
                <w:color w:val="428BCA"/>
                <w:sz w:val="20"/>
                <w:szCs w:val="20"/>
              </w:rPr>
              <w:t>.</w:t>
            </w:r>
          </w:p>
        </w:tc>
      </w:tr>
      <w:tr w:rsidR="00EA011A" w:rsidRPr="00752727" w:rsidTr="00A21F75">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ECE7ED"/>
          </w:tcPr>
          <w:p w:rsidR="00EA011A" w:rsidRPr="00C8658E" w:rsidRDefault="00EA011A" w:rsidP="00EA011A">
            <w:pPr>
              <w:spacing w:before="120" w:after="12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January </w:t>
            </w:r>
            <w:r w:rsidRPr="00C8658E">
              <w:rPr>
                <w:rFonts w:ascii="Palatino Linotype" w:hAnsi="Palatino Linotype" w:cs="Arial"/>
                <w:b/>
                <w:sz w:val="20"/>
                <w:szCs w:val="20"/>
                <w:u w:val="single"/>
                <w:bdr w:val="none" w:sz="0" w:space="0" w:color="auto" w:frame="1"/>
              </w:rPr>
              <w:t>201</w:t>
            </w:r>
            <w:r>
              <w:rPr>
                <w:rFonts w:ascii="Palatino Linotype" w:hAnsi="Palatino Linotype" w:cs="Arial"/>
                <w:b/>
                <w:sz w:val="20"/>
                <w:szCs w:val="20"/>
                <w:u w:val="single"/>
                <w:bdr w:val="none" w:sz="0" w:space="0" w:color="auto" w:frame="1"/>
              </w:rPr>
              <w:t>8</w:t>
            </w:r>
            <w:r w:rsidRPr="00C8658E">
              <w:rPr>
                <w:rFonts w:ascii="Palatino Linotype" w:hAnsi="Palatino Linotype" w:cs="Arial"/>
                <w:b/>
                <w:sz w:val="20"/>
                <w:szCs w:val="20"/>
                <w:u w:val="single"/>
                <w:bdr w:val="none" w:sz="0" w:space="0" w:color="auto" w:frame="1"/>
              </w:rPr>
              <w:t xml:space="preserve"> </w:t>
            </w:r>
            <w:bookmarkStart w:id="13" w:name="Awards"/>
            <w:r w:rsidRPr="00C8658E">
              <w:rPr>
                <w:rFonts w:ascii="Palatino Linotype" w:hAnsi="Palatino Linotype" w:cs="Arial"/>
                <w:b/>
                <w:sz w:val="20"/>
                <w:szCs w:val="20"/>
                <w:u w:val="single"/>
                <w:bdr w:val="none" w:sz="0" w:space="0" w:color="auto" w:frame="1"/>
              </w:rPr>
              <w:t>Awards</w:t>
            </w:r>
            <w:bookmarkEnd w:id="13"/>
          </w:p>
        </w:tc>
      </w:tr>
      <w:tr w:rsidR="00EA011A" w:rsidRPr="00752727" w:rsidTr="00A21F75">
        <w:tblPrEx>
          <w:tblBorders>
            <w:insideH w:val="none" w:sz="0" w:space="0" w:color="auto"/>
          </w:tblBorders>
          <w:tblCellMar>
            <w:left w:w="108" w:type="dxa"/>
            <w:right w:w="108" w:type="dxa"/>
          </w:tblCellMar>
        </w:tblPrEx>
        <w:trPr>
          <w:trHeight w:val="1845"/>
        </w:trPr>
        <w:tc>
          <w:tcPr>
            <w:tcW w:w="4855" w:type="dxa"/>
            <w:gridSpan w:val="5"/>
            <w:tcBorders>
              <w:top w:val="nil"/>
              <w:bottom w:val="single" w:sz="4" w:space="0" w:color="auto"/>
              <w:right w:val="nil"/>
            </w:tcBorders>
            <w:shd w:val="clear" w:color="auto" w:fill="ECE7ED"/>
          </w:tcPr>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Kate Muldoon</w:t>
            </w:r>
            <w:r w:rsidRPr="004D7F17">
              <w:rPr>
                <w:rFonts w:ascii="Palatino Linotype" w:hAnsi="Palatino Linotype"/>
                <w:b/>
                <w:sz w:val="20"/>
                <w:szCs w:val="20"/>
                <w:u w:val="single"/>
              </w:rPr>
              <w:br/>
            </w:r>
            <w:r w:rsidRPr="004D7F17">
              <w:rPr>
                <w:rFonts w:ascii="Palatino Linotype" w:hAnsi="Palatino Linotype"/>
                <w:sz w:val="20"/>
                <w:szCs w:val="20"/>
              </w:rPr>
              <w:t>Cotsakos College of Business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Business Action Center through a Subaward from Rutgers, The State University</w:t>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WPU Small Business Development Center, 2017-2018</w:t>
            </w:r>
            <w:r w:rsidRPr="004D7F17">
              <w:rPr>
                <w:rFonts w:ascii="Palatino Linotype" w:hAnsi="Palatino Linotype"/>
                <w:sz w:val="20"/>
                <w:szCs w:val="20"/>
              </w:rPr>
              <w:br/>
              <w:t>$32,000</w:t>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br/>
            </w:r>
          </w:p>
        </w:tc>
        <w:tc>
          <w:tcPr>
            <w:tcW w:w="5760" w:type="dxa"/>
            <w:gridSpan w:val="4"/>
            <w:tcBorders>
              <w:top w:val="nil"/>
              <w:left w:val="nil"/>
              <w:bottom w:val="single" w:sz="4" w:space="0" w:color="auto"/>
            </w:tcBorders>
            <w:shd w:val="clear" w:color="auto" w:fill="ECE7ED"/>
          </w:tcPr>
          <w:p w:rsidR="00EA011A" w:rsidRPr="00C8658E" w:rsidRDefault="00EA011A" w:rsidP="00EA011A">
            <w:pPr>
              <w:rPr>
                <w:rFonts w:ascii="Palatino Linotype" w:hAnsi="Palatino Linotype"/>
                <w:sz w:val="20"/>
                <w:szCs w:val="20"/>
              </w:rPr>
            </w:pPr>
            <w:r w:rsidRPr="004D7F17">
              <w:rPr>
                <w:rFonts w:ascii="Palatino Linotype" w:hAnsi="Palatino Linotype"/>
                <w:b/>
                <w:sz w:val="20"/>
                <w:szCs w:val="20"/>
                <w:u w:val="single"/>
              </w:rPr>
              <w:t>Glen Sherman</w:t>
            </w:r>
            <w:r w:rsidRPr="004D7F17">
              <w:rPr>
                <w:rFonts w:ascii="Palatino Linotype" w:hAnsi="Palatino Linotype"/>
                <w:b/>
                <w:sz w:val="20"/>
                <w:szCs w:val="20"/>
                <w:u w:val="single"/>
              </w:rPr>
              <w:br/>
              <w:t>Sherrine Schuldt</w:t>
            </w:r>
            <w:r w:rsidRPr="004D7F17">
              <w:rPr>
                <w:rFonts w:ascii="Palatino Linotype" w:hAnsi="Palatino Linotype"/>
                <w:b/>
                <w:sz w:val="20"/>
                <w:szCs w:val="20"/>
                <w:u w:val="single"/>
              </w:rPr>
              <w:br/>
              <w:t>William Kernan</w:t>
            </w:r>
            <w:r w:rsidRPr="004D7F17">
              <w:rPr>
                <w:rFonts w:ascii="Palatino Linotype" w:hAnsi="Palatino Linotype"/>
                <w:b/>
                <w:sz w:val="20"/>
                <w:szCs w:val="20"/>
                <w:u w:val="single"/>
              </w:rPr>
              <w:br/>
            </w:r>
            <w:r w:rsidRPr="004D7F17">
              <w:rPr>
                <w:rFonts w:ascii="Palatino Linotype" w:hAnsi="Palatino Linotype"/>
                <w:sz w:val="20"/>
                <w:szCs w:val="20"/>
              </w:rPr>
              <w:t>Student Development</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Department of Mental</w:t>
            </w:r>
            <w:r>
              <w:rPr>
                <w:rFonts w:ascii="Palatino Linotype" w:hAnsi="Palatino Linotype"/>
                <w:b/>
                <w:i/>
                <w:sz w:val="20"/>
                <w:szCs w:val="20"/>
              </w:rPr>
              <w:t xml:space="preserve"> Health and Addiction Services</w:t>
            </w:r>
            <w:r>
              <w:rPr>
                <w:rFonts w:ascii="Palatino Linotype" w:hAnsi="Palatino Linotype"/>
                <w:b/>
                <w:i/>
                <w:sz w:val="20"/>
                <w:szCs w:val="20"/>
              </w:rPr>
              <w:br/>
            </w:r>
            <w:r w:rsidRPr="004D7F17">
              <w:rPr>
                <w:rFonts w:ascii="Palatino Linotype" w:hAnsi="Palatino Linotype"/>
                <w:i/>
                <w:sz w:val="20"/>
                <w:szCs w:val="20"/>
              </w:rPr>
              <w:t xml:space="preserve">Strategic Prevention Framework Partnership for Success (SPF-PFS) </w:t>
            </w:r>
            <w:r w:rsidRPr="004D7F17">
              <w:rPr>
                <w:rFonts w:ascii="Palatino Linotype" w:hAnsi="Palatino Linotype"/>
                <w:i/>
                <w:sz w:val="20"/>
                <w:szCs w:val="20"/>
              </w:rPr>
              <w:br/>
            </w:r>
            <w:r w:rsidRPr="004D7F17">
              <w:rPr>
                <w:rFonts w:ascii="Palatino Linotype" w:hAnsi="Palatino Linotype"/>
                <w:sz w:val="20"/>
                <w:szCs w:val="20"/>
              </w:rPr>
              <w:t>$96,288</w:t>
            </w:r>
          </w:p>
        </w:tc>
      </w:tr>
      <w:tr w:rsidR="00EA011A" w:rsidRPr="00752727" w:rsidTr="00A21F75">
        <w:tblPrEx>
          <w:tblBorders>
            <w:insideH w:val="none" w:sz="0" w:space="0" w:color="auto"/>
            <w:insideV w:val="none" w:sz="0" w:space="0" w:color="auto"/>
          </w:tblBorders>
          <w:tblCellMar>
            <w:left w:w="108" w:type="dxa"/>
            <w:right w:w="108" w:type="dxa"/>
          </w:tblCellMar>
        </w:tblPrEx>
        <w:tc>
          <w:tcPr>
            <w:tcW w:w="10615" w:type="dxa"/>
            <w:gridSpan w:val="9"/>
            <w:shd w:val="clear" w:color="auto" w:fill="ECE7ED"/>
          </w:tcPr>
          <w:p w:rsidR="00EA011A" w:rsidRPr="001A046E" w:rsidRDefault="00EA011A" w:rsidP="00EA011A">
            <w:pPr>
              <w:spacing w:before="120" w:after="12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January 2018 </w:t>
            </w:r>
            <w:r w:rsidRPr="005F0B23">
              <w:rPr>
                <w:rFonts w:ascii="Palatino Linotype" w:hAnsi="Palatino Linotype" w:cs="Arial"/>
                <w:b/>
                <w:sz w:val="20"/>
                <w:szCs w:val="20"/>
                <w:u w:val="single"/>
                <w:bdr w:val="none" w:sz="0" w:space="0" w:color="auto" w:frame="1"/>
              </w:rPr>
              <w:t>Proposals</w:t>
            </w:r>
          </w:p>
        </w:tc>
      </w:tr>
      <w:tr w:rsidR="00EA011A" w:rsidRPr="00752727" w:rsidTr="009F5131">
        <w:tblPrEx>
          <w:tblBorders>
            <w:insideH w:val="none" w:sz="0" w:space="0" w:color="auto"/>
            <w:insideV w:val="none" w:sz="0" w:space="0" w:color="auto"/>
          </w:tblBorders>
          <w:tblCellMar>
            <w:left w:w="108" w:type="dxa"/>
            <w:right w:w="108" w:type="dxa"/>
          </w:tblCellMar>
        </w:tblPrEx>
        <w:trPr>
          <w:trHeight w:val="1620"/>
        </w:trPr>
        <w:tc>
          <w:tcPr>
            <w:tcW w:w="4855" w:type="dxa"/>
            <w:gridSpan w:val="5"/>
            <w:shd w:val="clear" w:color="auto" w:fill="ECE7ED"/>
          </w:tcPr>
          <w:p w:rsidR="00EA011A" w:rsidRPr="004D7F17" w:rsidRDefault="00EA011A" w:rsidP="00EA011A">
            <w:pPr>
              <w:rPr>
                <w:rFonts w:ascii="Palatino Linotype" w:hAnsi="Palatino Linotype"/>
                <w:sz w:val="20"/>
                <w:szCs w:val="20"/>
              </w:rPr>
            </w:pPr>
            <w:r w:rsidRPr="004D7F17">
              <w:rPr>
                <w:rFonts w:ascii="Palatino Linotype" w:hAnsi="Palatino Linotype"/>
                <w:b/>
                <w:sz w:val="20"/>
                <w:szCs w:val="20"/>
                <w:u w:val="single"/>
              </w:rPr>
              <w:lastRenderedPageBreak/>
              <w:t>Jonathan Foley</w:t>
            </w:r>
            <w:r w:rsidRPr="004D7F17">
              <w:rPr>
                <w:rFonts w:ascii="Palatino Linotype" w:hAnsi="Palatino Linotype"/>
                <w:b/>
                <w:sz w:val="20"/>
                <w:szCs w:val="20"/>
                <w:u w:val="single"/>
              </w:rPr>
              <w:br/>
            </w:r>
            <w:r w:rsidRPr="004D7F17">
              <w:rPr>
                <w:rFonts w:ascii="Palatino Linotype" w:hAnsi="Palatino Linotype"/>
                <w:sz w:val="20"/>
                <w:szCs w:val="20"/>
              </w:rPr>
              <w:t>College of Science and Health</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Department of Energy through a subaward with Argonne National Laboratory</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Critically Coupled Solar Absorber/Emitters</w:t>
            </w:r>
            <w:r w:rsidRPr="004D7F17">
              <w:rPr>
                <w:rFonts w:ascii="Palatino Linotype" w:hAnsi="Palatino Linotype"/>
                <w:sz w:val="20"/>
                <w:szCs w:val="20"/>
              </w:rPr>
              <w:br/>
              <w:t xml:space="preserve">$120,164 </w:t>
            </w:r>
          </w:p>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Michael Gordon</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James McKeen Cattell Fund</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Innovators of Psychology</w:t>
            </w:r>
            <w:r w:rsidRPr="004D7F17">
              <w:rPr>
                <w:rFonts w:ascii="Palatino Linotype" w:hAnsi="Palatino Linotype"/>
                <w:sz w:val="20"/>
                <w:szCs w:val="20"/>
              </w:rPr>
              <w:tab/>
            </w:r>
            <w:r w:rsidRPr="004D7F17">
              <w:rPr>
                <w:rFonts w:ascii="Palatino Linotype" w:hAnsi="Palatino Linotype"/>
                <w:sz w:val="20"/>
                <w:szCs w:val="20"/>
              </w:rPr>
              <w:br/>
              <w:t>$38,624</w:t>
            </w:r>
          </w:p>
        </w:tc>
        <w:tc>
          <w:tcPr>
            <w:tcW w:w="5760" w:type="dxa"/>
            <w:gridSpan w:val="4"/>
            <w:shd w:val="clear" w:color="auto" w:fill="ECE7ED"/>
          </w:tcPr>
          <w:p w:rsidR="00EA011A" w:rsidRPr="004D7F17" w:rsidRDefault="00EA011A" w:rsidP="00EA011A">
            <w:pPr>
              <w:rPr>
                <w:rFonts w:ascii="Palatino Linotype" w:hAnsi="Palatino Linotype"/>
                <w:sz w:val="20"/>
                <w:szCs w:val="20"/>
              </w:rPr>
            </w:pPr>
            <w:r w:rsidRPr="004D7F17">
              <w:rPr>
                <w:rFonts w:ascii="Palatino Linotype" w:hAnsi="Palatino Linotype"/>
                <w:b/>
                <w:sz w:val="20"/>
                <w:szCs w:val="20"/>
                <w:u w:val="single"/>
              </w:rPr>
              <w:t>Nancy Norris-Bauer</w:t>
            </w:r>
            <w:r w:rsidRPr="004D7F17">
              <w:rPr>
                <w:rFonts w:ascii="Palatino Linotype" w:hAnsi="Palatino Linotype"/>
                <w:b/>
                <w:sz w:val="20"/>
                <w:szCs w:val="20"/>
                <w:u w:val="single"/>
              </w:rPr>
              <w:br/>
            </w:r>
            <w:r w:rsidRPr="004D7F17">
              <w:rPr>
                <w:rFonts w:ascii="Palatino Linotype" w:hAnsi="Palatino Linotype"/>
                <w:sz w:val="20"/>
                <w:szCs w:val="20"/>
              </w:rPr>
              <w:t>College of Education</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Jersey City Board of Education</w:t>
            </w:r>
            <w:r w:rsidRPr="004D7F17">
              <w:rPr>
                <w:rFonts w:ascii="Palatino Linotype" w:hAnsi="Palatino Linotype"/>
                <w:sz w:val="20"/>
                <w:szCs w:val="20"/>
              </w:rPr>
              <w:br/>
            </w:r>
            <w:r w:rsidRPr="004D7F17">
              <w:rPr>
                <w:rFonts w:ascii="Palatino Linotype" w:hAnsi="Palatino Linotype"/>
                <w:i/>
                <w:sz w:val="20"/>
                <w:szCs w:val="20"/>
              </w:rPr>
              <w:t>English Language Arts Professional Development - St. Nicholas School</w:t>
            </w:r>
            <w:r w:rsidRPr="004D7F17">
              <w:rPr>
                <w:rFonts w:ascii="Palatino Linotype" w:hAnsi="Palatino Linotype"/>
                <w:i/>
                <w:sz w:val="20"/>
                <w:szCs w:val="20"/>
              </w:rPr>
              <w:tab/>
            </w:r>
            <w:r w:rsidRPr="004D7F17">
              <w:rPr>
                <w:rFonts w:ascii="Palatino Linotype" w:hAnsi="Palatino Linotype"/>
                <w:i/>
                <w:sz w:val="20"/>
                <w:szCs w:val="20"/>
              </w:rPr>
              <w:br/>
            </w:r>
            <w:r w:rsidRPr="004D7F17">
              <w:rPr>
                <w:rFonts w:ascii="Palatino Linotype" w:hAnsi="Palatino Linotype"/>
                <w:sz w:val="20"/>
                <w:szCs w:val="20"/>
              </w:rPr>
              <w:t>$10,000</w:t>
            </w:r>
          </w:p>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Natalie Obrecht</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National Science Foundation</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Collaborative Research RUI: Experimental investigation of the links between numeracy subcomponents and judgment and decision making</w:t>
            </w:r>
            <w:r w:rsidRPr="004D7F17">
              <w:rPr>
                <w:rFonts w:ascii="Palatino Linotype" w:hAnsi="Palatino Linotype"/>
                <w:sz w:val="20"/>
                <w:szCs w:val="20"/>
              </w:rPr>
              <w:tab/>
            </w:r>
            <w:r w:rsidRPr="004D7F17">
              <w:rPr>
                <w:rFonts w:ascii="Palatino Linotype" w:hAnsi="Palatino Linotype"/>
                <w:sz w:val="20"/>
                <w:szCs w:val="20"/>
              </w:rPr>
              <w:br/>
              <w:t>$262,222</w:t>
            </w:r>
          </w:p>
        </w:tc>
      </w:tr>
      <w:tr w:rsidR="00EA011A" w:rsidRPr="00752727" w:rsidTr="0072678C">
        <w:trPr>
          <w:trHeight w:val="1718"/>
        </w:trPr>
        <w:tc>
          <w:tcPr>
            <w:tcW w:w="1434" w:type="dxa"/>
            <w:vAlign w:val="center"/>
          </w:tcPr>
          <w:p w:rsidR="00EA011A" w:rsidRPr="00752727" w:rsidRDefault="002E4B33" w:rsidP="00EA011A">
            <w:pPr>
              <w:spacing w:after="0" w:line="240" w:lineRule="auto"/>
              <w:jc w:val="center"/>
            </w:pPr>
            <w:hyperlink r:id="rId31" w:history="1">
              <w:r w:rsidR="00EA011A" w:rsidRPr="00752727">
                <w:rPr>
                  <w:color w:val="0000FF"/>
                  <w:sz w:val="24"/>
                  <w:szCs w:val="24"/>
                  <w:u w:val="single"/>
                </w:rPr>
                <w:t>Workshops Calendar</w:t>
              </w:r>
            </w:hyperlink>
          </w:p>
        </w:tc>
        <w:tc>
          <w:tcPr>
            <w:tcW w:w="1567" w:type="dxa"/>
            <w:vAlign w:val="center"/>
          </w:tcPr>
          <w:p w:rsidR="00EA011A" w:rsidRPr="00752727" w:rsidRDefault="002E4B33" w:rsidP="00EA011A">
            <w:pPr>
              <w:spacing w:after="0" w:line="240" w:lineRule="auto"/>
              <w:jc w:val="center"/>
            </w:pPr>
            <w:hyperlink r:id="rId32" w:history="1">
              <w:r w:rsidR="00EA011A" w:rsidRPr="00752727">
                <w:rPr>
                  <w:color w:val="0000FF"/>
                  <w:sz w:val="24"/>
                  <w:szCs w:val="24"/>
                  <w:u w:val="single"/>
                </w:rPr>
                <w:t>Institutional Review Board</w:t>
              </w:r>
            </w:hyperlink>
          </w:p>
        </w:tc>
        <w:tc>
          <w:tcPr>
            <w:tcW w:w="1602" w:type="dxa"/>
            <w:gridSpan w:val="2"/>
            <w:vAlign w:val="center"/>
          </w:tcPr>
          <w:p w:rsidR="00EA011A" w:rsidRPr="00752727" w:rsidRDefault="002E4B33" w:rsidP="00EA011A">
            <w:pPr>
              <w:spacing w:after="0" w:line="240" w:lineRule="auto"/>
              <w:jc w:val="center"/>
              <w:rPr>
                <w:color w:val="0000FF"/>
                <w:sz w:val="24"/>
                <w:szCs w:val="24"/>
                <w:u w:val="single"/>
              </w:rPr>
            </w:pPr>
            <w:hyperlink r:id="rId33" w:history="1">
              <w:r w:rsidR="00EA011A" w:rsidRPr="00752727">
                <w:rPr>
                  <w:color w:val="0000FF"/>
                  <w:sz w:val="24"/>
                  <w:szCs w:val="24"/>
                  <w:u w:val="single"/>
                </w:rPr>
                <w:t>Preparing Proposals</w:t>
              </w:r>
            </w:hyperlink>
          </w:p>
        </w:tc>
        <w:tc>
          <w:tcPr>
            <w:tcW w:w="1710" w:type="dxa"/>
            <w:gridSpan w:val="2"/>
            <w:vAlign w:val="center"/>
          </w:tcPr>
          <w:p w:rsidR="00EA011A" w:rsidRPr="00752727" w:rsidRDefault="002E4B33" w:rsidP="00EA011A">
            <w:pPr>
              <w:spacing w:after="0" w:line="240" w:lineRule="auto"/>
              <w:jc w:val="center"/>
            </w:pPr>
            <w:hyperlink r:id="rId34" w:history="1">
              <w:r w:rsidR="00EA011A" w:rsidRPr="00752727">
                <w:rPr>
                  <w:color w:val="0000FF"/>
                  <w:sz w:val="24"/>
                  <w:szCs w:val="24"/>
                  <w:u w:val="single"/>
                </w:rPr>
                <w:t>Proposal Writing Resources</w:t>
              </w:r>
            </w:hyperlink>
          </w:p>
        </w:tc>
        <w:tc>
          <w:tcPr>
            <w:tcW w:w="1619" w:type="dxa"/>
            <w:vAlign w:val="center"/>
          </w:tcPr>
          <w:p w:rsidR="00EA011A" w:rsidRPr="00752727" w:rsidRDefault="002E4B33" w:rsidP="00EA011A">
            <w:pPr>
              <w:spacing w:after="0" w:line="240" w:lineRule="auto"/>
              <w:jc w:val="center"/>
            </w:pPr>
            <w:hyperlink r:id="rId35" w:history="1">
              <w:r w:rsidR="00EA011A" w:rsidRPr="00752727">
                <w:rPr>
                  <w:color w:val="0000FF"/>
                  <w:sz w:val="24"/>
                  <w:szCs w:val="24"/>
                  <w:u w:val="single"/>
                </w:rPr>
                <w:t>Recent Awards</w:t>
              </w:r>
            </w:hyperlink>
          </w:p>
        </w:tc>
        <w:tc>
          <w:tcPr>
            <w:tcW w:w="2683" w:type="dxa"/>
            <w:gridSpan w:val="2"/>
          </w:tcPr>
          <w:p w:rsidR="00EA011A" w:rsidRDefault="00EA011A" w:rsidP="00EA011A">
            <w:pPr>
              <w:spacing w:after="0" w:line="240" w:lineRule="auto"/>
              <w:jc w:val="center"/>
              <w:rPr>
                <w:b/>
                <w:bCs/>
                <w:u w:val="single"/>
              </w:rPr>
            </w:pPr>
            <w:r>
              <w:rPr>
                <w:b/>
                <w:bCs/>
                <w:u w:val="single"/>
              </w:rPr>
              <w:t>Office Hours</w:t>
            </w:r>
          </w:p>
          <w:p w:rsidR="00EA011A" w:rsidRDefault="00EA011A" w:rsidP="00EA011A">
            <w:pPr>
              <w:spacing w:after="0" w:line="240" w:lineRule="auto"/>
              <w:rPr>
                <w:b/>
                <w:bCs/>
                <w:u w:val="single"/>
              </w:rPr>
            </w:pPr>
            <w:r>
              <w:rPr>
                <w:b/>
                <w:bCs/>
                <w:u w:val="single"/>
              </w:rPr>
              <w:t>Monday           8:30 – 4:30</w:t>
            </w:r>
          </w:p>
          <w:p w:rsidR="00EA011A" w:rsidRDefault="00EA011A" w:rsidP="00EA011A">
            <w:pPr>
              <w:spacing w:after="0" w:line="240" w:lineRule="auto"/>
              <w:rPr>
                <w:b/>
                <w:bCs/>
                <w:u w:val="single"/>
              </w:rPr>
            </w:pPr>
            <w:r>
              <w:rPr>
                <w:b/>
                <w:bCs/>
                <w:u w:val="single"/>
              </w:rPr>
              <w:t>Tuesday           8:30 – 4:30</w:t>
            </w:r>
          </w:p>
          <w:p w:rsidR="00EA011A" w:rsidRDefault="00EA011A" w:rsidP="00EA011A">
            <w:pPr>
              <w:spacing w:after="0" w:line="240" w:lineRule="auto"/>
              <w:rPr>
                <w:b/>
                <w:bCs/>
                <w:u w:val="single"/>
              </w:rPr>
            </w:pPr>
            <w:r>
              <w:rPr>
                <w:b/>
                <w:bCs/>
                <w:u w:val="single"/>
              </w:rPr>
              <w:t>Wednesday     8:30 – 4:30</w:t>
            </w:r>
          </w:p>
          <w:p w:rsidR="00EA011A" w:rsidRDefault="00EA011A" w:rsidP="00EA011A">
            <w:pPr>
              <w:spacing w:after="0" w:line="240" w:lineRule="auto"/>
              <w:rPr>
                <w:b/>
                <w:bCs/>
                <w:u w:val="single"/>
              </w:rPr>
            </w:pPr>
            <w:r>
              <w:rPr>
                <w:b/>
                <w:bCs/>
                <w:u w:val="single"/>
              </w:rPr>
              <w:t>Thursday          8:30 – 4:30</w:t>
            </w:r>
          </w:p>
          <w:p w:rsidR="00EA011A" w:rsidRPr="00752727" w:rsidRDefault="00EA011A" w:rsidP="00EA011A">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4"/>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46708"/>
    <w:rsid w:val="00051C63"/>
    <w:rsid w:val="0005336C"/>
    <w:rsid w:val="0005587B"/>
    <w:rsid w:val="00062803"/>
    <w:rsid w:val="000859FA"/>
    <w:rsid w:val="000A0D6A"/>
    <w:rsid w:val="000A3006"/>
    <w:rsid w:val="000A7794"/>
    <w:rsid w:val="000A7B0A"/>
    <w:rsid w:val="000B2A31"/>
    <w:rsid w:val="000C6D4E"/>
    <w:rsid w:val="000C6EF3"/>
    <w:rsid w:val="000C76D5"/>
    <w:rsid w:val="000E01AE"/>
    <w:rsid w:val="000E4E5E"/>
    <w:rsid w:val="000F33FD"/>
    <w:rsid w:val="00105A7A"/>
    <w:rsid w:val="0010677F"/>
    <w:rsid w:val="00110740"/>
    <w:rsid w:val="00115191"/>
    <w:rsid w:val="0012242A"/>
    <w:rsid w:val="001226E3"/>
    <w:rsid w:val="00127C98"/>
    <w:rsid w:val="00127F34"/>
    <w:rsid w:val="001400D9"/>
    <w:rsid w:val="001451D3"/>
    <w:rsid w:val="00153077"/>
    <w:rsid w:val="00153A18"/>
    <w:rsid w:val="0015502E"/>
    <w:rsid w:val="0015764C"/>
    <w:rsid w:val="001611C8"/>
    <w:rsid w:val="00161CEA"/>
    <w:rsid w:val="00165CC4"/>
    <w:rsid w:val="00171833"/>
    <w:rsid w:val="00183323"/>
    <w:rsid w:val="001919C3"/>
    <w:rsid w:val="001A6EBF"/>
    <w:rsid w:val="001C0FD0"/>
    <w:rsid w:val="001C7668"/>
    <w:rsid w:val="001D07BA"/>
    <w:rsid w:val="001D1506"/>
    <w:rsid w:val="001D3554"/>
    <w:rsid w:val="001E2F70"/>
    <w:rsid w:val="0020020B"/>
    <w:rsid w:val="00206741"/>
    <w:rsid w:val="00210CC6"/>
    <w:rsid w:val="00233729"/>
    <w:rsid w:val="00240F68"/>
    <w:rsid w:val="00250293"/>
    <w:rsid w:val="00265D55"/>
    <w:rsid w:val="00266B3A"/>
    <w:rsid w:val="002670E8"/>
    <w:rsid w:val="00272CF9"/>
    <w:rsid w:val="0027628E"/>
    <w:rsid w:val="0028099A"/>
    <w:rsid w:val="00283F3E"/>
    <w:rsid w:val="002867C6"/>
    <w:rsid w:val="002A5C87"/>
    <w:rsid w:val="002C31A9"/>
    <w:rsid w:val="002D6079"/>
    <w:rsid w:val="002E2518"/>
    <w:rsid w:val="002E4B33"/>
    <w:rsid w:val="002E77DE"/>
    <w:rsid w:val="002F1074"/>
    <w:rsid w:val="002F7271"/>
    <w:rsid w:val="0030167C"/>
    <w:rsid w:val="00301AE7"/>
    <w:rsid w:val="00302429"/>
    <w:rsid w:val="00311B8C"/>
    <w:rsid w:val="003176B2"/>
    <w:rsid w:val="003253F2"/>
    <w:rsid w:val="00333681"/>
    <w:rsid w:val="00340624"/>
    <w:rsid w:val="00345E44"/>
    <w:rsid w:val="00347F31"/>
    <w:rsid w:val="00351C16"/>
    <w:rsid w:val="00353841"/>
    <w:rsid w:val="0036261C"/>
    <w:rsid w:val="003708F1"/>
    <w:rsid w:val="00383776"/>
    <w:rsid w:val="003B182C"/>
    <w:rsid w:val="003B2099"/>
    <w:rsid w:val="003B4FEB"/>
    <w:rsid w:val="003C2B7D"/>
    <w:rsid w:val="003C2E70"/>
    <w:rsid w:val="003C3032"/>
    <w:rsid w:val="003E5765"/>
    <w:rsid w:val="003E6417"/>
    <w:rsid w:val="003F2DAC"/>
    <w:rsid w:val="003F3E5E"/>
    <w:rsid w:val="003F7855"/>
    <w:rsid w:val="00401B5D"/>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1806"/>
    <w:rsid w:val="005922AE"/>
    <w:rsid w:val="005A59B7"/>
    <w:rsid w:val="005A6B26"/>
    <w:rsid w:val="005B1A4A"/>
    <w:rsid w:val="005B6660"/>
    <w:rsid w:val="005F18EB"/>
    <w:rsid w:val="005F447C"/>
    <w:rsid w:val="00605BA3"/>
    <w:rsid w:val="006339B3"/>
    <w:rsid w:val="00634682"/>
    <w:rsid w:val="006443BC"/>
    <w:rsid w:val="006557F6"/>
    <w:rsid w:val="006656AB"/>
    <w:rsid w:val="00666C04"/>
    <w:rsid w:val="00682DF9"/>
    <w:rsid w:val="006840A9"/>
    <w:rsid w:val="006854A1"/>
    <w:rsid w:val="0069117E"/>
    <w:rsid w:val="00693F43"/>
    <w:rsid w:val="006977D0"/>
    <w:rsid w:val="006A028D"/>
    <w:rsid w:val="006A6B28"/>
    <w:rsid w:val="006B096E"/>
    <w:rsid w:val="006B3DA7"/>
    <w:rsid w:val="006B45A5"/>
    <w:rsid w:val="006B4B96"/>
    <w:rsid w:val="006C4D89"/>
    <w:rsid w:val="006C6066"/>
    <w:rsid w:val="006D2758"/>
    <w:rsid w:val="006E0CF8"/>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532CA"/>
    <w:rsid w:val="007609D0"/>
    <w:rsid w:val="00767559"/>
    <w:rsid w:val="00780410"/>
    <w:rsid w:val="00783626"/>
    <w:rsid w:val="007A6F06"/>
    <w:rsid w:val="007A7561"/>
    <w:rsid w:val="007B2F27"/>
    <w:rsid w:val="007B4E2B"/>
    <w:rsid w:val="007D00E3"/>
    <w:rsid w:val="007F725D"/>
    <w:rsid w:val="007F73CC"/>
    <w:rsid w:val="007F79D3"/>
    <w:rsid w:val="00804FD9"/>
    <w:rsid w:val="008153D4"/>
    <w:rsid w:val="008201C3"/>
    <w:rsid w:val="00836FF2"/>
    <w:rsid w:val="00840240"/>
    <w:rsid w:val="00842FDB"/>
    <w:rsid w:val="0085359E"/>
    <w:rsid w:val="00853D6C"/>
    <w:rsid w:val="0086003D"/>
    <w:rsid w:val="0087000D"/>
    <w:rsid w:val="00871F7F"/>
    <w:rsid w:val="00886A78"/>
    <w:rsid w:val="00895458"/>
    <w:rsid w:val="0089711A"/>
    <w:rsid w:val="008A0CD3"/>
    <w:rsid w:val="008B7EE8"/>
    <w:rsid w:val="008C7EEB"/>
    <w:rsid w:val="008D1EC7"/>
    <w:rsid w:val="008E0F8D"/>
    <w:rsid w:val="008E7FCF"/>
    <w:rsid w:val="008F23DE"/>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B7374"/>
    <w:rsid w:val="009C17EE"/>
    <w:rsid w:val="009C4F1A"/>
    <w:rsid w:val="009D060E"/>
    <w:rsid w:val="009D57BC"/>
    <w:rsid w:val="009E5902"/>
    <w:rsid w:val="009F3FEE"/>
    <w:rsid w:val="009F5131"/>
    <w:rsid w:val="00A14682"/>
    <w:rsid w:val="00A1562D"/>
    <w:rsid w:val="00A15A2C"/>
    <w:rsid w:val="00A15DED"/>
    <w:rsid w:val="00A16DBB"/>
    <w:rsid w:val="00A17843"/>
    <w:rsid w:val="00A20F21"/>
    <w:rsid w:val="00A21F75"/>
    <w:rsid w:val="00A26133"/>
    <w:rsid w:val="00A2736D"/>
    <w:rsid w:val="00A33566"/>
    <w:rsid w:val="00A34599"/>
    <w:rsid w:val="00A4027B"/>
    <w:rsid w:val="00A52C05"/>
    <w:rsid w:val="00A60E80"/>
    <w:rsid w:val="00A60FAE"/>
    <w:rsid w:val="00A64DD1"/>
    <w:rsid w:val="00A657FF"/>
    <w:rsid w:val="00A8436B"/>
    <w:rsid w:val="00A85CDA"/>
    <w:rsid w:val="00A9110C"/>
    <w:rsid w:val="00AA03E6"/>
    <w:rsid w:val="00AD1721"/>
    <w:rsid w:val="00AD2785"/>
    <w:rsid w:val="00AE4E66"/>
    <w:rsid w:val="00AF2432"/>
    <w:rsid w:val="00B00C6C"/>
    <w:rsid w:val="00B024A3"/>
    <w:rsid w:val="00B02662"/>
    <w:rsid w:val="00B111AE"/>
    <w:rsid w:val="00B118AA"/>
    <w:rsid w:val="00B25BF0"/>
    <w:rsid w:val="00B34720"/>
    <w:rsid w:val="00B37373"/>
    <w:rsid w:val="00B51BA8"/>
    <w:rsid w:val="00B527A4"/>
    <w:rsid w:val="00B543AA"/>
    <w:rsid w:val="00B62666"/>
    <w:rsid w:val="00B73049"/>
    <w:rsid w:val="00BB2E5F"/>
    <w:rsid w:val="00BC1254"/>
    <w:rsid w:val="00BC2523"/>
    <w:rsid w:val="00BC2C5D"/>
    <w:rsid w:val="00BC4AB5"/>
    <w:rsid w:val="00BE17A3"/>
    <w:rsid w:val="00BE1DC3"/>
    <w:rsid w:val="00BE5A21"/>
    <w:rsid w:val="00BE62E2"/>
    <w:rsid w:val="00BE6961"/>
    <w:rsid w:val="00BE716A"/>
    <w:rsid w:val="00BE756E"/>
    <w:rsid w:val="00BE7715"/>
    <w:rsid w:val="00BF1BCB"/>
    <w:rsid w:val="00BF6F9D"/>
    <w:rsid w:val="00C1147A"/>
    <w:rsid w:val="00C14E48"/>
    <w:rsid w:val="00C17C27"/>
    <w:rsid w:val="00C23D92"/>
    <w:rsid w:val="00C26B10"/>
    <w:rsid w:val="00C32247"/>
    <w:rsid w:val="00C35372"/>
    <w:rsid w:val="00C36FE2"/>
    <w:rsid w:val="00C428BD"/>
    <w:rsid w:val="00C465C5"/>
    <w:rsid w:val="00C50281"/>
    <w:rsid w:val="00C50B8A"/>
    <w:rsid w:val="00C517E0"/>
    <w:rsid w:val="00C51977"/>
    <w:rsid w:val="00C54767"/>
    <w:rsid w:val="00C54C6E"/>
    <w:rsid w:val="00C63A6E"/>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160C"/>
    <w:rsid w:val="00CD766C"/>
    <w:rsid w:val="00CE5458"/>
    <w:rsid w:val="00CE6614"/>
    <w:rsid w:val="00CF42A6"/>
    <w:rsid w:val="00CF4695"/>
    <w:rsid w:val="00D01B4F"/>
    <w:rsid w:val="00D0310C"/>
    <w:rsid w:val="00D05886"/>
    <w:rsid w:val="00D06B48"/>
    <w:rsid w:val="00D07E48"/>
    <w:rsid w:val="00D22EA1"/>
    <w:rsid w:val="00D3045F"/>
    <w:rsid w:val="00D46233"/>
    <w:rsid w:val="00D52AB8"/>
    <w:rsid w:val="00D72188"/>
    <w:rsid w:val="00D82D74"/>
    <w:rsid w:val="00D86A21"/>
    <w:rsid w:val="00D928E8"/>
    <w:rsid w:val="00D943C5"/>
    <w:rsid w:val="00D968FB"/>
    <w:rsid w:val="00DA70A3"/>
    <w:rsid w:val="00DC3809"/>
    <w:rsid w:val="00DE290B"/>
    <w:rsid w:val="00DE6B9A"/>
    <w:rsid w:val="00DE7A02"/>
    <w:rsid w:val="00DF4926"/>
    <w:rsid w:val="00DF4CB1"/>
    <w:rsid w:val="00E009AE"/>
    <w:rsid w:val="00E00F7B"/>
    <w:rsid w:val="00E03435"/>
    <w:rsid w:val="00E06FE4"/>
    <w:rsid w:val="00E1048B"/>
    <w:rsid w:val="00E154C0"/>
    <w:rsid w:val="00E209EB"/>
    <w:rsid w:val="00E328BA"/>
    <w:rsid w:val="00E466AD"/>
    <w:rsid w:val="00E46A74"/>
    <w:rsid w:val="00E5097C"/>
    <w:rsid w:val="00E55CB1"/>
    <w:rsid w:val="00E56CC0"/>
    <w:rsid w:val="00E651E5"/>
    <w:rsid w:val="00E67A14"/>
    <w:rsid w:val="00E67BA0"/>
    <w:rsid w:val="00E72102"/>
    <w:rsid w:val="00E747AA"/>
    <w:rsid w:val="00E81502"/>
    <w:rsid w:val="00E861A9"/>
    <w:rsid w:val="00E9169C"/>
    <w:rsid w:val="00E93B58"/>
    <w:rsid w:val="00E97EB5"/>
    <w:rsid w:val="00EA011A"/>
    <w:rsid w:val="00EA6211"/>
    <w:rsid w:val="00EA7C44"/>
    <w:rsid w:val="00EB27FF"/>
    <w:rsid w:val="00EC3BFD"/>
    <w:rsid w:val="00EC546A"/>
    <w:rsid w:val="00EC6B61"/>
    <w:rsid w:val="00ED4EB2"/>
    <w:rsid w:val="00EE2E95"/>
    <w:rsid w:val="00EF0B70"/>
    <w:rsid w:val="00EF150E"/>
    <w:rsid w:val="00EF33D7"/>
    <w:rsid w:val="00F109E9"/>
    <w:rsid w:val="00F13BF8"/>
    <w:rsid w:val="00F153BD"/>
    <w:rsid w:val="00F356A6"/>
    <w:rsid w:val="00F43CDC"/>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2DA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62AF"/>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25051034">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etersm@wpunj.edu" TargetMode="External"/><Relationship Id="rId18" Type="http://schemas.openxmlformats.org/officeDocument/2006/relationships/hyperlink" Target="http://www.wennergren.org/programs/post-phd-research-grants" TargetMode="External"/><Relationship Id="rId26" Type="http://schemas.openxmlformats.org/officeDocument/2006/relationships/hyperlink" Target="http://grants.nih.gov/grants/guide/pa-files/PAR-15-184.html" TargetMode="External"/><Relationship Id="rId3" Type="http://schemas.openxmlformats.org/officeDocument/2006/relationships/styles" Target="styles.xml"/><Relationship Id="rId21" Type="http://schemas.openxmlformats.org/officeDocument/2006/relationships/hyperlink" Target="http://wtgrantfoundation.org/focus-areas/reducing-inequality" TargetMode="External"/><Relationship Id="rId34" Type="http://schemas.openxmlformats.org/officeDocument/2006/relationships/hyperlink" Target="http://www.wpunj.edu/osp/narratives-and-budgets.dot" TargetMode="External"/><Relationship Id="rId7" Type="http://schemas.openxmlformats.org/officeDocument/2006/relationships/endnotes" Target="endnotes.xml"/><Relationship Id="rId12" Type="http://schemas.openxmlformats.org/officeDocument/2006/relationships/hyperlink" Target="https://www.wpunj.edu/osp/explorations/" TargetMode="External"/><Relationship Id="rId17" Type="http://schemas.openxmlformats.org/officeDocument/2006/relationships/hyperlink" Target="http://www.aascu.org/grc/" TargetMode="External"/><Relationship Id="rId25" Type="http://schemas.openxmlformats.org/officeDocument/2006/relationships/hyperlink" Target="http://www.neafoundation.org/pages/grants-to-educators/" TargetMode="External"/><Relationship Id="rId33" Type="http://schemas.openxmlformats.org/officeDocument/2006/relationships/hyperlink" Target="http://www.wpunj.edu/osp/preparing-proposals.dot" TargetMode="External"/><Relationship Id="rId2" Type="http://schemas.openxmlformats.org/officeDocument/2006/relationships/numbering" Target="numbering.xml"/><Relationship Id="rId16" Type="http://schemas.openxmlformats.org/officeDocument/2006/relationships/hyperlink" Target="http://www.grants.gov/web/grants/home.html" TargetMode="External"/><Relationship Id="rId20" Type="http://schemas.openxmlformats.org/officeDocument/2006/relationships/hyperlink" Target="https://nij.gov/funding/Documents/solicitations/NIJ-2018-14054.pdf" TargetMode="External"/><Relationship Id="rId29" Type="http://schemas.openxmlformats.org/officeDocument/2006/relationships/hyperlink" Target="http://inasmuchfoundation.org/journalism-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hriresearch.org/HRI/Research/Apply_for_Funding.aspx" TargetMode="External"/><Relationship Id="rId32" Type="http://schemas.openxmlformats.org/officeDocument/2006/relationships/hyperlink" Target="http://www.wpunj.edu/osp/irb/index.do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scu.org/grc/gs/" TargetMode="External"/><Relationship Id="rId23" Type="http://schemas.openxmlformats.org/officeDocument/2006/relationships/hyperlink" Target="http://wtgrantfoundation.org/Grants" TargetMode="External"/><Relationship Id="rId28" Type="http://schemas.openxmlformats.org/officeDocument/2006/relationships/hyperlink" Target="http://warholfoundation.org/grant/arts.html" TargetMode="External"/><Relationship Id="rId36" Type="http://schemas.openxmlformats.org/officeDocument/2006/relationships/fontTable" Target="fontTable.xml"/><Relationship Id="rId10" Type="http://schemas.openxmlformats.org/officeDocument/2006/relationships/hyperlink" Target="http://www.wpunj.edu/osp/dui/index.html" TargetMode="External"/><Relationship Id="rId19" Type="http://schemas.openxmlformats.org/officeDocument/2006/relationships/hyperlink" Target="https://nij.gov/funding/Documents/solicitations/NIJ-2018-13960.pdf" TargetMode="External"/><Relationship Id="rId31" Type="http://schemas.openxmlformats.org/officeDocument/2006/relationships/hyperlink" Target="http://www.wpunj.edu/osp/workshops.dot"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www.wpunj.edu/osp/workshops.html" TargetMode="External"/><Relationship Id="rId22" Type="http://schemas.openxmlformats.org/officeDocument/2006/relationships/hyperlink" Target="http://wtgrantfoundation.org/focus-areas/improving-use-research-evidence" TargetMode="External"/><Relationship Id="rId27" Type="http://schemas.openxmlformats.org/officeDocument/2006/relationships/hyperlink" Target="https://grants.nih.gov/grants/guide/pa-files/PA-18-210.html" TargetMode="External"/><Relationship Id="rId30" Type="http://schemas.openxmlformats.org/officeDocument/2006/relationships/hyperlink" Target="http://www.fs.fed.us/ucf/nucfac.shtml" TargetMode="External"/><Relationship Id="rId35" Type="http://schemas.openxmlformats.org/officeDocument/2006/relationships/hyperlink" Target="http://www.wpunj.edu/osp/celebrating-a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5B7D-8FF3-43C3-9A27-2ABA3FF9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15142</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15</cp:revision>
  <cp:lastPrinted>2018-02-09T15:22:00Z</cp:lastPrinted>
  <dcterms:created xsi:type="dcterms:W3CDTF">2018-03-20T15:34:00Z</dcterms:created>
  <dcterms:modified xsi:type="dcterms:W3CDTF">2018-03-22T19:39:00Z</dcterms:modified>
</cp:coreProperties>
</file>