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255"/>
        <w:gridCol w:w="1440"/>
        <w:gridCol w:w="450"/>
        <w:gridCol w:w="900"/>
        <w:gridCol w:w="1080"/>
        <w:gridCol w:w="630"/>
        <w:gridCol w:w="1710"/>
        <w:gridCol w:w="586"/>
        <w:gridCol w:w="674"/>
        <w:gridCol w:w="1890"/>
      </w:tblGrid>
      <w:tr w:rsidR="00505FC4" w:rsidRPr="00752727" w:rsidTr="0040431E">
        <w:trPr>
          <w:trHeight w:val="723"/>
        </w:trPr>
        <w:tc>
          <w:tcPr>
            <w:tcW w:w="3145" w:type="dxa"/>
            <w:gridSpan w:val="3"/>
            <w:tcBorders>
              <w:top w:val="single" w:sz="4" w:space="0" w:color="auto"/>
              <w:left w:val="single" w:sz="4" w:space="0" w:color="auto"/>
              <w:bottom w:val="single" w:sz="4" w:space="0" w:color="auto"/>
              <w:right w:val="nil"/>
            </w:tcBorders>
            <w:shd w:val="clear" w:color="auto" w:fill="ED7D31"/>
            <w:tcMar>
              <w:top w:w="0" w:type="dxa"/>
              <w:left w:w="108" w:type="dxa"/>
              <w:bottom w:w="0" w:type="dxa"/>
              <w:right w:w="108" w:type="dxa"/>
            </w:tcMar>
            <w:hideMark/>
          </w:tcPr>
          <w:p w:rsidR="00505FC4" w:rsidRPr="00752727" w:rsidRDefault="00590250" w:rsidP="000A7794">
            <w:pPr>
              <w:spacing w:after="0" w:line="276" w:lineRule="auto"/>
              <w:ind w:left="-180"/>
              <w:rPr>
                <w:b/>
                <w:bCs/>
                <w:i/>
                <w:iCs/>
                <w:color w:val="3378CB"/>
              </w:rPr>
            </w:pPr>
            <w:bookmarkStart w:id="0" w:name="_GoBack"/>
            <w:r>
              <w:rPr>
                <w:noProof/>
              </w:rPr>
              <w:drawing>
                <wp:anchor distT="0" distB="0" distL="114300" distR="114300" simplePos="0" relativeHeight="251659264" behindDoc="0" locked="0" layoutInCell="1" allowOverlap="1" wp14:anchorId="2C07B1A1" wp14:editId="3E362E27">
                  <wp:simplePos x="0" y="0"/>
                  <wp:positionH relativeFrom="column">
                    <wp:posOffset>-6350</wp:posOffset>
                  </wp:positionH>
                  <wp:positionV relativeFrom="paragraph">
                    <wp:posOffset>7620</wp:posOffset>
                  </wp:positionV>
                  <wp:extent cx="2459355" cy="43116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9355" cy="4311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70" w:type="dxa"/>
            <w:gridSpan w:val="7"/>
            <w:tcBorders>
              <w:top w:val="single" w:sz="4" w:space="0" w:color="auto"/>
              <w:left w:val="nil"/>
              <w:bottom w:val="single" w:sz="4" w:space="0" w:color="auto"/>
              <w:right w:val="single" w:sz="4" w:space="0" w:color="auto"/>
            </w:tcBorders>
            <w:shd w:val="clear" w:color="auto" w:fill="ED7D31"/>
            <w:vAlign w:val="center"/>
          </w:tcPr>
          <w:p w:rsidR="00505FC4" w:rsidRDefault="00505FC4" w:rsidP="000A7794">
            <w:pPr>
              <w:spacing w:before="20" w:after="0" w:line="240" w:lineRule="auto"/>
              <w:rPr>
                <w:b/>
                <w:bCs/>
                <w:i/>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Office of Sponsored Progr</w:t>
            </w:r>
            <w:r w:rsidR="00590250">
              <w:rPr>
                <w:b/>
                <w:bCs/>
                <w:i/>
                <w:iCs/>
                <w:color w:val="000000"/>
                <w:sz w:val="24"/>
                <w:szCs w:val="24"/>
              </w:rPr>
              <w:t xml:space="preserve">ams      Raubinger Hall 309 </w:t>
            </w:r>
          </w:p>
          <w:p w:rsidR="00505FC4" w:rsidRPr="00F8446F" w:rsidRDefault="00505FC4" w:rsidP="000A7794">
            <w:pPr>
              <w:spacing w:before="20" w:after="0" w:line="240" w:lineRule="auto"/>
              <w:rPr>
                <w:b/>
                <w:bCs/>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 xml:space="preserve">973-720-2852   </w:t>
            </w:r>
            <w:hyperlink r:id="rId9" w:history="1">
              <w:r>
                <w:rPr>
                  <w:rStyle w:val="Hyperlink"/>
                  <w:b/>
                  <w:sz w:val="24"/>
                  <w:szCs w:val="24"/>
                </w:rPr>
                <w:t>grants@wpunj.edu</w:t>
              </w:r>
            </w:hyperlink>
            <w:r>
              <w:rPr>
                <w:color w:val="0000FF"/>
                <w:sz w:val="24"/>
                <w:szCs w:val="24"/>
              </w:rPr>
              <w:t xml:space="preserve">    </w:t>
            </w:r>
            <w:hyperlink r:id="rId10" w:history="1">
              <w:r>
                <w:rPr>
                  <w:rStyle w:val="Hyperlink"/>
                  <w:b/>
                  <w:sz w:val="24"/>
                  <w:szCs w:val="24"/>
                </w:rPr>
                <w:t>www.wpunj.edu/osp</w:t>
              </w:r>
            </w:hyperlink>
          </w:p>
        </w:tc>
      </w:tr>
      <w:tr w:rsidR="00505FC4" w:rsidRPr="00752727" w:rsidTr="0072678C">
        <w:trPr>
          <w:trHeight w:val="273"/>
        </w:trPr>
        <w:tc>
          <w:tcPr>
            <w:tcW w:w="8051" w:type="dxa"/>
            <w:gridSpan w:val="8"/>
            <w:tcBorders>
              <w:top w:val="single" w:sz="4" w:space="0" w:color="auto"/>
              <w:left w:val="single" w:sz="4" w:space="0" w:color="auto"/>
              <w:bottom w:val="single" w:sz="4" w:space="0" w:color="auto"/>
            </w:tcBorders>
            <w:shd w:val="clear" w:color="auto" w:fill="000000"/>
            <w:tcMar>
              <w:top w:w="0" w:type="dxa"/>
              <w:left w:w="108" w:type="dxa"/>
              <w:bottom w:w="0" w:type="dxa"/>
              <w:right w:w="108" w:type="dxa"/>
            </w:tcMar>
            <w:vAlign w:val="center"/>
          </w:tcPr>
          <w:p w:rsidR="00505FC4" w:rsidRPr="00752727" w:rsidRDefault="00505FC4" w:rsidP="000A7794">
            <w:pPr>
              <w:spacing w:after="0" w:line="240" w:lineRule="auto"/>
              <w:rPr>
                <w:rFonts w:ascii="Palatino Linotype" w:hAnsi="Palatino Linotype" w:cs="Arial"/>
                <w:b/>
                <w:iCs/>
                <w:sz w:val="24"/>
                <w:szCs w:val="24"/>
              </w:rPr>
            </w:pPr>
            <w:r w:rsidRPr="00752727">
              <w:rPr>
                <w:rFonts w:ascii="Palatino Linotype" w:hAnsi="Palatino Linotype" w:cs="Arial"/>
                <w:b/>
                <w:iCs/>
                <w:sz w:val="24"/>
                <w:szCs w:val="24"/>
              </w:rPr>
              <w:t xml:space="preserve">Funding Opportunities Newsletter                                           </w:t>
            </w:r>
          </w:p>
        </w:tc>
        <w:tc>
          <w:tcPr>
            <w:tcW w:w="2564" w:type="dxa"/>
            <w:gridSpan w:val="2"/>
            <w:tcBorders>
              <w:top w:val="single" w:sz="4" w:space="0" w:color="auto"/>
              <w:bottom w:val="single" w:sz="4" w:space="0" w:color="auto"/>
            </w:tcBorders>
            <w:shd w:val="clear" w:color="auto" w:fill="000000"/>
            <w:vAlign w:val="center"/>
          </w:tcPr>
          <w:p w:rsidR="00505FC4" w:rsidRPr="00752727" w:rsidRDefault="008904E2" w:rsidP="00B63C7F">
            <w:pPr>
              <w:spacing w:after="0" w:line="240" w:lineRule="auto"/>
              <w:rPr>
                <w:rFonts w:ascii="Palatino Linotype" w:hAnsi="Palatino Linotype" w:cs="Arial"/>
                <w:b/>
                <w:iCs/>
                <w:sz w:val="24"/>
                <w:szCs w:val="24"/>
              </w:rPr>
            </w:pPr>
            <w:r>
              <w:rPr>
                <w:rFonts w:ascii="Palatino Linotype" w:hAnsi="Palatino Linotype" w:cs="Arial"/>
                <w:b/>
                <w:iCs/>
                <w:sz w:val="24"/>
                <w:szCs w:val="24"/>
              </w:rPr>
              <w:t xml:space="preserve">November </w:t>
            </w:r>
            <w:r w:rsidR="00B63C7F">
              <w:rPr>
                <w:rFonts w:ascii="Palatino Linotype" w:hAnsi="Palatino Linotype" w:cs="Arial"/>
                <w:b/>
                <w:iCs/>
                <w:sz w:val="24"/>
                <w:szCs w:val="24"/>
              </w:rPr>
              <w:t>30</w:t>
            </w:r>
            <w:r w:rsidR="001E56D4">
              <w:rPr>
                <w:rFonts w:ascii="Palatino Linotype" w:hAnsi="Palatino Linotype" w:cs="Arial"/>
                <w:b/>
                <w:iCs/>
                <w:sz w:val="24"/>
                <w:szCs w:val="24"/>
              </w:rPr>
              <w:t xml:space="preserve">, </w:t>
            </w:r>
            <w:r w:rsidR="002A5C87">
              <w:rPr>
                <w:rFonts w:ascii="Palatino Linotype" w:hAnsi="Palatino Linotype" w:cs="Arial"/>
                <w:b/>
                <w:iCs/>
                <w:sz w:val="24"/>
                <w:szCs w:val="24"/>
              </w:rPr>
              <w:t>2018</w:t>
            </w:r>
          </w:p>
        </w:tc>
      </w:tr>
      <w:tr w:rsidR="00505FC4" w:rsidRPr="00752727" w:rsidTr="006A028D">
        <w:trPr>
          <w:trHeight w:val="270"/>
        </w:trPr>
        <w:tc>
          <w:tcPr>
            <w:tcW w:w="10615" w:type="dxa"/>
            <w:gridSpan w:val="10"/>
            <w:tcBorders>
              <w:left w:val="nil"/>
              <w:right w:val="nil"/>
            </w:tcBorders>
            <w:shd w:val="clear" w:color="auto" w:fill="auto"/>
            <w:tcMar>
              <w:top w:w="0" w:type="dxa"/>
              <w:left w:w="108" w:type="dxa"/>
              <w:bottom w:w="0" w:type="dxa"/>
              <w:right w:w="108" w:type="dxa"/>
            </w:tcMar>
            <w:vAlign w:val="center"/>
          </w:tcPr>
          <w:p w:rsidR="00505FC4" w:rsidRPr="00752727" w:rsidRDefault="00505FC4" w:rsidP="000A7794">
            <w:pPr>
              <w:spacing w:after="0" w:line="240" w:lineRule="auto"/>
              <w:jc w:val="center"/>
              <w:rPr>
                <w:b/>
                <w:bCs/>
                <w:color w:val="FF0000"/>
                <w:sz w:val="24"/>
                <w:szCs w:val="24"/>
              </w:rPr>
            </w:pPr>
            <w:r w:rsidRPr="00752727">
              <w:rPr>
                <w:b/>
                <w:bCs/>
                <w:color w:val="FF0000"/>
                <w:sz w:val="24"/>
                <w:szCs w:val="24"/>
              </w:rPr>
              <w:t>Please contact the Office of Sponsored Programs when you begin working on a proposal.</w:t>
            </w:r>
          </w:p>
        </w:tc>
      </w:tr>
      <w:tr w:rsidR="00A15DED" w:rsidRPr="00752727" w:rsidTr="00DB67C5">
        <w:trPr>
          <w:trHeight w:val="890"/>
        </w:trPr>
        <w:tc>
          <w:tcPr>
            <w:tcW w:w="3145" w:type="dxa"/>
            <w:gridSpan w:val="3"/>
            <w:shd w:val="clear" w:color="auto" w:fill="auto"/>
            <w:tcMar>
              <w:top w:w="0" w:type="dxa"/>
              <w:left w:w="108" w:type="dxa"/>
              <w:bottom w:w="0" w:type="dxa"/>
              <w:right w:w="108" w:type="dxa"/>
            </w:tcMar>
          </w:tcPr>
          <w:p w:rsidR="00A15DED" w:rsidRDefault="00A15DED" w:rsidP="00A15DED">
            <w:pPr>
              <w:tabs>
                <w:tab w:val="left" w:pos="6750"/>
              </w:tabs>
              <w:spacing w:after="0" w:line="240" w:lineRule="auto"/>
              <w:ind w:left="144"/>
              <w:contextualSpacing/>
              <w:rPr>
                <w:rFonts w:ascii="Palatino Linotype" w:hAnsi="Palatino Linotype"/>
                <w:b/>
                <w:sz w:val="24"/>
                <w:szCs w:val="24"/>
                <w:u w:val="single"/>
              </w:rPr>
            </w:pPr>
          </w:p>
          <w:p w:rsidR="001608A9" w:rsidRPr="005A2E9D" w:rsidRDefault="00A15DED" w:rsidP="005A2E9D">
            <w:pPr>
              <w:tabs>
                <w:tab w:val="left" w:pos="6750"/>
              </w:tabs>
              <w:spacing w:after="240" w:line="240" w:lineRule="auto"/>
              <w:ind w:left="144" w:right="144"/>
              <w:jc w:val="center"/>
              <w:rPr>
                <w:rStyle w:val="Hyperlink"/>
                <w:rFonts w:ascii="Palatino Linotype" w:hAnsi="Palatino Linotype"/>
                <w:b/>
                <w:color w:val="auto"/>
                <w:sz w:val="24"/>
                <w:szCs w:val="24"/>
              </w:rPr>
            </w:pPr>
            <w:r>
              <w:rPr>
                <w:rFonts w:ascii="Palatino Linotype" w:hAnsi="Palatino Linotype"/>
                <w:b/>
                <w:sz w:val="24"/>
                <w:szCs w:val="24"/>
                <w:u w:val="single"/>
              </w:rPr>
              <w:t>Funding Opportunities Index</w:t>
            </w:r>
          </w:p>
          <w:p w:rsidR="007624D3" w:rsidRDefault="00927D8D" w:rsidP="00454232">
            <w:pPr>
              <w:shd w:val="clear" w:color="auto" w:fill="FFFFFF"/>
              <w:spacing w:after="120" w:line="240" w:lineRule="auto"/>
              <w:rPr>
                <w:rFonts w:ascii="Palatino Linotype" w:hAnsi="Palatino Linotype"/>
                <w:b/>
                <w:sz w:val="20"/>
                <w:szCs w:val="20"/>
                <w:u w:val="single"/>
              </w:rPr>
            </w:pPr>
            <w:hyperlink w:anchor="MCC" w:history="1">
              <w:r w:rsidR="005A2E9D" w:rsidRPr="005A2E9D">
                <w:rPr>
                  <w:rStyle w:val="Hyperlink"/>
                  <w:rFonts w:ascii="Palatino Linotype" w:hAnsi="Palatino Linotype"/>
                  <w:b/>
                  <w:sz w:val="20"/>
                  <w:szCs w:val="20"/>
                </w:rPr>
                <w:t xml:space="preserve">-Partnership’s Grants </w:t>
              </w:r>
              <w:r w:rsidR="005A2E9D">
                <w:rPr>
                  <w:rStyle w:val="Hyperlink"/>
                  <w:rFonts w:ascii="Palatino Linotype" w:hAnsi="Palatino Linotype"/>
                  <w:b/>
                  <w:sz w:val="20"/>
                  <w:szCs w:val="20"/>
                </w:rPr>
                <w:t>(</w:t>
              </w:r>
              <w:r w:rsidR="005A2E9D" w:rsidRPr="005A2E9D">
                <w:rPr>
                  <w:rStyle w:val="Hyperlink"/>
                  <w:rFonts w:ascii="Palatino Linotype" w:hAnsi="Palatino Linotype"/>
                  <w:b/>
                  <w:i/>
                  <w:sz w:val="20"/>
                  <w:szCs w:val="20"/>
                </w:rPr>
                <w:t>Millennium Challenge Corporation</w:t>
              </w:r>
            </w:hyperlink>
            <w:r w:rsidR="005A2E9D">
              <w:rPr>
                <w:rFonts w:ascii="Palatino Linotype" w:hAnsi="Palatino Linotype"/>
                <w:b/>
                <w:sz w:val="20"/>
                <w:szCs w:val="20"/>
                <w:u w:val="single"/>
              </w:rPr>
              <w:t>)</w:t>
            </w:r>
          </w:p>
          <w:p w:rsidR="005A2E9D" w:rsidRDefault="00927D8D" w:rsidP="00454232">
            <w:pPr>
              <w:shd w:val="clear" w:color="auto" w:fill="FFFFFF"/>
              <w:spacing w:after="120" w:line="240" w:lineRule="auto"/>
              <w:rPr>
                <w:rFonts w:ascii="Palatino Linotype" w:hAnsi="Palatino Linotype"/>
                <w:b/>
                <w:sz w:val="20"/>
                <w:szCs w:val="20"/>
                <w:u w:val="single"/>
              </w:rPr>
            </w:pPr>
            <w:hyperlink w:anchor="ONES" w:history="1">
              <w:r w:rsidR="005A2E9D" w:rsidRPr="005A2E9D">
                <w:rPr>
                  <w:rStyle w:val="Hyperlink"/>
                  <w:rFonts w:ascii="Palatino Linotype" w:hAnsi="Palatino Linotype"/>
                  <w:b/>
                  <w:sz w:val="20"/>
                  <w:szCs w:val="20"/>
                </w:rPr>
                <w:t xml:space="preserve">-Outstanding New Environmental Scientist </w:t>
              </w:r>
              <w:r w:rsidR="005A2E9D" w:rsidRPr="005A2E9D">
                <w:rPr>
                  <w:rStyle w:val="Hyperlink"/>
                  <w:rFonts w:ascii="Palatino Linotype" w:hAnsi="Palatino Linotype"/>
                  <w:b/>
                  <w:i/>
                  <w:sz w:val="20"/>
                  <w:szCs w:val="20"/>
                </w:rPr>
                <w:t>(NIH)</w:t>
              </w:r>
            </w:hyperlink>
          </w:p>
          <w:p w:rsidR="005A2E9D" w:rsidRPr="005A2E9D" w:rsidRDefault="00927D8D" w:rsidP="00454232">
            <w:pPr>
              <w:shd w:val="clear" w:color="auto" w:fill="FFFFFF"/>
              <w:spacing w:after="120" w:line="240" w:lineRule="auto"/>
              <w:rPr>
                <w:rFonts w:ascii="Palatino Linotype" w:hAnsi="Palatino Linotype"/>
                <w:b/>
                <w:sz w:val="20"/>
                <w:szCs w:val="20"/>
                <w:u w:val="single"/>
              </w:rPr>
            </w:pPr>
            <w:hyperlink w:anchor="NIOSH" w:history="1">
              <w:r w:rsidR="005A2E9D" w:rsidRPr="005A2E9D">
                <w:rPr>
                  <w:rStyle w:val="Hyperlink"/>
                  <w:rFonts w:ascii="Palatino Linotype" w:hAnsi="Palatino Linotype"/>
                  <w:b/>
                  <w:sz w:val="20"/>
                  <w:szCs w:val="20"/>
                </w:rPr>
                <w:t xml:space="preserve">-NIOSH Small Research Program </w:t>
              </w:r>
              <w:r w:rsidR="005A2E9D" w:rsidRPr="005A2E9D">
                <w:rPr>
                  <w:rStyle w:val="Hyperlink"/>
                  <w:rFonts w:ascii="Palatino Linotype" w:hAnsi="Palatino Linotype"/>
                  <w:b/>
                  <w:i/>
                  <w:sz w:val="20"/>
                  <w:szCs w:val="20"/>
                </w:rPr>
                <w:t>(CDC)</w:t>
              </w:r>
            </w:hyperlink>
          </w:p>
          <w:p w:rsidR="00454232" w:rsidRDefault="00927D8D" w:rsidP="00454232">
            <w:pPr>
              <w:shd w:val="clear" w:color="auto" w:fill="FFFFFF"/>
              <w:spacing w:after="120" w:line="240" w:lineRule="auto"/>
              <w:rPr>
                <w:rFonts w:ascii="Palatino Linotype" w:hAnsi="Palatino Linotype"/>
                <w:b/>
                <w:sz w:val="20"/>
                <w:szCs w:val="20"/>
                <w:u w:val="single"/>
              </w:rPr>
            </w:pPr>
            <w:hyperlink w:anchor="FSRMBA" w:history="1">
              <w:r w:rsidR="007606B2" w:rsidRPr="007606B2">
                <w:rPr>
                  <w:rStyle w:val="Hyperlink"/>
                  <w:rFonts w:ascii="Palatino Linotype" w:hAnsi="Palatino Linotype"/>
                  <w:b/>
                  <w:sz w:val="20"/>
                  <w:szCs w:val="20"/>
                </w:rPr>
                <w:t xml:space="preserve">-Fundamental Science Research on Mind and Body Approaches </w:t>
              </w:r>
              <w:r w:rsidR="007606B2" w:rsidRPr="007606B2">
                <w:rPr>
                  <w:rStyle w:val="Hyperlink"/>
                  <w:rFonts w:ascii="Palatino Linotype" w:hAnsi="Palatino Linotype"/>
                  <w:b/>
                  <w:i/>
                  <w:sz w:val="20"/>
                  <w:szCs w:val="20"/>
                </w:rPr>
                <w:t>(NIH)</w:t>
              </w:r>
            </w:hyperlink>
          </w:p>
          <w:p w:rsidR="007606B2" w:rsidRDefault="00927D8D" w:rsidP="00454232">
            <w:pPr>
              <w:shd w:val="clear" w:color="auto" w:fill="FFFFFF"/>
              <w:spacing w:after="120" w:line="240" w:lineRule="auto"/>
              <w:rPr>
                <w:rFonts w:ascii="Palatino Linotype" w:hAnsi="Palatino Linotype"/>
                <w:b/>
                <w:sz w:val="20"/>
                <w:szCs w:val="20"/>
                <w:u w:val="single"/>
              </w:rPr>
            </w:pPr>
            <w:hyperlink w:anchor="DPAAM" w:history="1">
              <w:r w:rsidR="007606B2" w:rsidRPr="007606B2">
                <w:rPr>
                  <w:rStyle w:val="Hyperlink"/>
                  <w:rFonts w:ascii="Palatino Linotype" w:hAnsi="Palatino Linotype"/>
                  <w:b/>
                  <w:sz w:val="20"/>
                  <w:szCs w:val="20"/>
                </w:rPr>
                <w:t xml:space="preserve">-Diet and Physical Activity Assessment Methodology </w:t>
              </w:r>
              <w:r w:rsidR="007606B2" w:rsidRPr="007606B2">
                <w:rPr>
                  <w:rStyle w:val="Hyperlink"/>
                  <w:rFonts w:ascii="Palatino Linotype" w:hAnsi="Palatino Linotype"/>
                  <w:b/>
                  <w:i/>
                  <w:sz w:val="20"/>
                  <w:szCs w:val="20"/>
                </w:rPr>
                <w:t>(NIH)</w:t>
              </w:r>
            </w:hyperlink>
          </w:p>
          <w:p w:rsidR="007606B2" w:rsidRDefault="00927D8D" w:rsidP="00454232">
            <w:pPr>
              <w:shd w:val="clear" w:color="auto" w:fill="FFFFFF"/>
              <w:spacing w:after="120" w:line="240" w:lineRule="auto"/>
              <w:rPr>
                <w:rFonts w:ascii="Palatino Linotype" w:hAnsi="Palatino Linotype"/>
                <w:b/>
                <w:sz w:val="20"/>
                <w:szCs w:val="20"/>
                <w:u w:val="single"/>
              </w:rPr>
            </w:pPr>
            <w:hyperlink w:anchor="DEB" w:history="1">
              <w:r w:rsidR="007606B2" w:rsidRPr="007606B2">
                <w:rPr>
                  <w:rStyle w:val="Hyperlink"/>
                  <w:rFonts w:ascii="Palatino Linotype" w:hAnsi="Palatino Linotype"/>
                  <w:b/>
                  <w:sz w:val="20"/>
                  <w:szCs w:val="20"/>
                </w:rPr>
                <w:t xml:space="preserve">- Division of Environmental Biology </w:t>
              </w:r>
              <w:r w:rsidR="007606B2" w:rsidRPr="007606B2">
                <w:rPr>
                  <w:rStyle w:val="Hyperlink"/>
                  <w:rFonts w:ascii="Palatino Linotype" w:hAnsi="Palatino Linotype"/>
                  <w:b/>
                  <w:i/>
                  <w:sz w:val="20"/>
                  <w:szCs w:val="20"/>
                </w:rPr>
                <w:t>(NSF)</w:t>
              </w:r>
            </w:hyperlink>
          </w:p>
          <w:p w:rsidR="007606B2" w:rsidRDefault="00927D8D" w:rsidP="00454232">
            <w:pPr>
              <w:shd w:val="clear" w:color="auto" w:fill="FFFFFF"/>
              <w:spacing w:after="120" w:line="240" w:lineRule="auto"/>
              <w:rPr>
                <w:rStyle w:val="Hyperlink"/>
                <w:rFonts w:ascii="Palatino Linotype" w:hAnsi="Palatino Linotype"/>
                <w:b/>
                <w:i/>
                <w:sz w:val="20"/>
                <w:szCs w:val="20"/>
              </w:rPr>
            </w:pPr>
            <w:hyperlink w:anchor="LTREB" w:history="1">
              <w:r w:rsidR="007606B2" w:rsidRPr="007606B2">
                <w:rPr>
                  <w:rStyle w:val="Hyperlink"/>
                  <w:rFonts w:ascii="Palatino Linotype" w:hAnsi="Palatino Linotype"/>
                  <w:b/>
                  <w:sz w:val="20"/>
                  <w:szCs w:val="20"/>
                </w:rPr>
                <w:t xml:space="preserve">-Long Term Research in Environmental Biology </w:t>
              </w:r>
              <w:r w:rsidR="007606B2" w:rsidRPr="007606B2">
                <w:rPr>
                  <w:rStyle w:val="Hyperlink"/>
                  <w:rFonts w:ascii="Palatino Linotype" w:hAnsi="Palatino Linotype"/>
                  <w:b/>
                  <w:i/>
                  <w:sz w:val="20"/>
                  <w:szCs w:val="20"/>
                </w:rPr>
                <w:t>(NSF)</w:t>
              </w:r>
            </w:hyperlink>
          </w:p>
          <w:p w:rsidR="00C17A06" w:rsidRDefault="00927D8D" w:rsidP="00454232">
            <w:pPr>
              <w:shd w:val="clear" w:color="auto" w:fill="FFFFFF"/>
              <w:spacing w:after="120" w:line="240" w:lineRule="auto"/>
              <w:rPr>
                <w:rStyle w:val="Hyperlink"/>
                <w:rFonts w:ascii="Palatino Linotype" w:hAnsi="Palatino Linotype"/>
                <w:b/>
                <w:sz w:val="20"/>
                <w:szCs w:val="20"/>
              </w:rPr>
            </w:pPr>
            <w:hyperlink w:anchor="CC" w:history="1">
              <w:r w:rsidR="00C17A06" w:rsidRPr="007D7549">
                <w:rPr>
                  <w:rStyle w:val="Hyperlink"/>
                  <w:rFonts w:ascii="Palatino Linotype" w:hAnsi="Palatino Linotype"/>
                  <w:b/>
                  <w:sz w:val="20"/>
                  <w:szCs w:val="20"/>
                </w:rPr>
                <w:t xml:space="preserve">-Campus Cyberinfrastructure </w:t>
              </w:r>
              <w:r w:rsidR="00C17A06" w:rsidRPr="007D7549">
                <w:rPr>
                  <w:rStyle w:val="Hyperlink"/>
                  <w:rFonts w:ascii="Palatino Linotype" w:hAnsi="Palatino Linotype"/>
                  <w:b/>
                  <w:i/>
                  <w:sz w:val="20"/>
                  <w:szCs w:val="20"/>
                </w:rPr>
                <w:t>(NSF)</w:t>
              </w:r>
            </w:hyperlink>
          </w:p>
          <w:p w:rsidR="008925D2" w:rsidRDefault="00927D8D" w:rsidP="00454232">
            <w:pPr>
              <w:shd w:val="clear" w:color="auto" w:fill="FFFFFF"/>
              <w:spacing w:after="120" w:line="240" w:lineRule="auto"/>
              <w:rPr>
                <w:rStyle w:val="Hyperlink"/>
                <w:rFonts w:ascii="Palatino Linotype" w:hAnsi="Palatino Linotype"/>
                <w:b/>
                <w:i/>
                <w:sz w:val="20"/>
                <w:szCs w:val="20"/>
              </w:rPr>
            </w:pPr>
            <w:hyperlink w:anchor="GP" w:history="1">
              <w:r w:rsidR="008925D2" w:rsidRPr="008925D2">
                <w:rPr>
                  <w:rStyle w:val="Hyperlink"/>
                  <w:rFonts w:ascii="Palatino Linotype" w:hAnsi="Palatino Linotype"/>
                  <w:b/>
                  <w:sz w:val="20"/>
                  <w:szCs w:val="20"/>
                </w:rPr>
                <w:t>-Grants Program</w:t>
              </w:r>
              <w:r w:rsidR="008925D2">
                <w:rPr>
                  <w:rStyle w:val="Hyperlink"/>
                  <w:rFonts w:ascii="Palatino Linotype" w:hAnsi="Palatino Linotype"/>
                  <w:b/>
                  <w:sz w:val="20"/>
                  <w:szCs w:val="20"/>
                </w:rPr>
                <w:t xml:space="preserve"> </w:t>
              </w:r>
              <w:r w:rsidR="008925D2" w:rsidRPr="008925D2">
                <w:rPr>
                  <w:rStyle w:val="Hyperlink"/>
                  <w:rFonts w:ascii="Palatino Linotype" w:hAnsi="Palatino Linotype"/>
                  <w:b/>
                  <w:i/>
                  <w:sz w:val="20"/>
                  <w:szCs w:val="20"/>
                </w:rPr>
                <w:t>(Sloan)</w:t>
              </w:r>
            </w:hyperlink>
          </w:p>
          <w:p w:rsidR="0078682B" w:rsidRDefault="00927D8D" w:rsidP="00454232">
            <w:pPr>
              <w:shd w:val="clear" w:color="auto" w:fill="FFFFFF"/>
              <w:spacing w:after="120" w:line="240" w:lineRule="auto"/>
              <w:rPr>
                <w:rStyle w:val="Hyperlink"/>
                <w:rFonts w:ascii="Palatino Linotype" w:hAnsi="Palatino Linotype"/>
                <w:b/>
                <w:i/>
                <w:sz w:val="20"/>
                <w:szCs w:val="20"/>
              </w:rPr>
            </w:pPr>
            <w:hyperlink w:anchor="RGF" w:history="1">
              <w:r w:rsidR="0078682B" w:rsidRPr="0078682B">
                <w:rPr>
                  <w:rStyle w:val="Hyperlink"/>
                  <w:rFonts w:ascii="Palatino Linotype" w:hAnsi="Palatino Linotype"/>
                  <w:b/>
                  <w:sz w:val="20"/>
                  <w:szCs w:val="20"/>
                </w:rPr>
                <w:t>-AHA Research Grants and Fellowships</w:t>
              </w:r>
              <w:r w:rsidR="0078682B" w:rsidRPr="0078682B">
                <w:rPr>
                  <w:rStyle w:val="Hyperlink"/>
                  <w:rFonts w:ascii="Palatino Linotype" w:hAnsi="Palatino Linotype"/>
                  <w:sz w:val="20"/>
                  <w:szCs w:val="20"/>
                </w:rPr>
                <w:t xml:space="preserve"> </w:t>
              </w:r>
              <w:r w:rsidR="0078682B" w:rsidRPr="0078682B">
                <w:rPr>
                  <w:rStyle w:val="Hyperlink"/>
                  <w:rFonts w:ascii="Palatino Linotype" w:hAnsi="Palatino Linotype"/>
                  <w:b/>
                  <w:i/>
                  <w:sz w:val="20"/>
                  <w:szCs w:val="20"/>
                </w:rPr>
                <w:t>(A</w:t>
              </w:r>
              <w:r w:rsidR="004A4EB2">
                <w:rPr>
                  <w:rStyle w:val="Hyperlink"/>
                  <w:rFonts w:ascii="Palatino Linotype" w:hAnsi="Palatino Linotype"/>
                  <w:b/>
                  <w:i/>
                  <w:sz w:val="20"/>
                  <w:szCs w:val="20"/>
                </w:rPr>
                <w:t>m. Historical Assoc.</w:t>
              </w:r>
            </w:hyperlink>
            <w:r w:rsidR="004A4EB2">
              <w:rPr>
                <w:rStyle w:val="Hyperlink"/>
                <w:rFonts w:ascii="Palatino Linotype" w:hAnsi="Palatino Linotype"/>
                <w:b/>
                <w:i/>
                <w:sz w:val="20"/>
                <w:szCs w:val="20"/>
              </w:rPr>
              <w:t>)</w:t>
            </w:r>
          </w:p>
          <w:p w:rsidR="00301934" w:rsidRPr="004A4EB2" w:rsidRDefault="00927D8D" w:rsidP="00454232">
            <w:pPr>
              <w:shd w:val="clear" w:color="auto" w:fill="FFFFFF"/>
              <w:spacing w:after="120" w:line="240" w:lineRule="auto"/>
              <w:rPr>
                <w:rFonts w:ascii="Palatino Linotype" w:hAnsi="Palatino Linotype"/>
                <w:b/>
                <w:sz w:val="20"/>
                <w:szCs w:val="20"/>
                <w:u w:val="single"/>
              </w:rPr>
            </w:pPr>
            <w:hyperlink w:anchor="PAC" w:history="1">
              <w:r w:rsidR="00301934" w:rsidRPr="004A4EB2">
                <w:rPr>
                  <w:rStyle w:val="Hyperlink"/>
                  <w:rFonts w:ascii="Palatino Linotype" w:hAnsi="Palatino Linotype"/>
                  <w:b/>
                  <w:sz w:val="20"/>
                  <w:szCs w:val="20"/>
                </w:rPr>
                <w:t xml:space="preserve">-Perception, Action &amp; Cognition </w:t>
              </w:r>
              <w:r w:rsidR="00301934" w:rsidRPr="004A4EB2">
                <w:rPr>
                  <w:rStyle w:val="Hyperlink"/>
                  <w:rFonts w:ascii="Palatino Linotype" w:hAnsi="Palatino Linotype"/>
                  <w:b/>
                  <w:i/>
                  <w:sz w:val="20"/>
                  <w:szCs w:val="20"/>
                </w:rPr>
                <w:t>(NSF)</w:t>
              </w:r>
            </w:hyperlink>
          </w:p>
          <w:p w:rsidR="001E56D4" w:rsidRDefault="001E56D4" w:rsidP="001451D3">
            <w:pPr>
              <w:tabs>
                <w:tab w:val="left" w:pos="6750"/>
              </w:tabs>
              <w:spacing w:after="240" w:line="240" w:lineRule="auto"/>
              <w:ind w:left="144" w:right="144"/>
              <w:jc w:val="center"/>
              <w:rPr>
                <w:rFonts w:ascii="Palatino Linotype" w:hAnsi="Palatino Linotype"/>
                <w:b/>
                <w:sz w:val="24"/>
                <w:szCs w:val="24"/>
                <w:u w:val="single"/>
              </w:rPr>
            </w:pPr>
          </w:p>
          <w:p w:rsidR="00A15DED" w:rsidRPr="001E42FF" w:rsidRDefault="00927D8D" w:rsidP="001E42FF">
            <w:pPr>
              <w:spacing w:line="360" w:lineRule="auto"/>
              <w:jc w:val="center"/>
              <w:rPr>
                <w:sz w:val="24"/>
                <w:szCs w:val="24"/>
              </w:rPr>
            </w:pPr>
            <w:hyperlink w:anchor="AP" w:history="1">
              <w:r w:rsidR="00B118AA">
                <w:rPr>
                  <w:rStyle w:val="Hyperlink"/>
                  <w:rFonts w:ascii="Palatino Linotype" w:hAnsi="Palatino Linotype"/>
                  <w:b/>
                  <w:sz w:val="24"/>
                  <w:szCs w:val="24"/>
                </w:rPr>
                <w:t xml:space="preserve">***Awards and </w:t>
              </w:r>
              <w:r w:rsidR="00A15DED" w:rsidRPr="00DF4926">
                <w:rPr>
                  <w:rStyle w:val="Hyperlink"/>
                  <w:rFonts w:ascii="Palatino Linotype" w:hAnsi="Palatino Linotype"/>
                  <w:b/>
                  <w:sz w:val="24"/>
                  <w:szCs w:val="24"/>
                </w:rPr>
                <w:t>Proposals***</w:t>
              </w:r>
            </w:hyperlink>
          </w:p>
        </w:tc>
        <w:tc>
          <w:tcPr>
            <w:tcW w:w="7470" w:type="dxa"/>
            <w:gridSpan w:val="7"/>
            <w:shd w:val="clear" w:color="auto" w:fill="auto"/>
          </w:tcPr>
          <w:p w:rsidR="00C04DC4" w:rsidRPr="00C04DC4" w:rsidRDefault="00C04DC4" w:rsidP="00C04DC4">
            <w:pPr>
              <w:spacing w:after="0" w:line="240" w:lineRule="auto"/>
              <w:ind w:left="144"/>
              <w:jc w:val="center"/>
              <w:rPr>
                <w:rFonts w:ascii="Palatino Linotype" w:hAnsi="Palatino Linotype"/>
                <w:b/>
                <w:color w:val="000000" w:themeColor="text1"/>
              </w:rPr>
            </w:pPr>
          </w:p>
          <w:p w:rsidR="00927D8D" w:rsidRDefault="00927D8D" w:rsidP="00927D8D">
            <w:pPr>
              <w:jc w:val="center"/>
              <w:rPr>
                <w:rFonts w:ascii="Palatino Linotype" w:hAnsi="Palatino Linotype"/>
                <w:b/>
                <w:color w:val="000000" w:themeColor="text1"/>
                <w:sz w:val="28"/>
                <w:szCs w:val="28"/>
              </w:rPr>
            </w:pPr>
            <w:r w:rsidRPr="0048064B">
              <w:rPr>
                <w:rFonts w:ascii="Palatino Linotype" w:hAnsi="Palatino Linotype"/>
                <w:b/>
                <w:color w:val="000000" w:themeColor="text1"/>
                <w:sz w:val="28"/>
                <w:szCs w:val="28"/>
              </w:rPr>
              <w:t xml:space="preserve">Agency Highlight: </w:t>
            </w:r>
          </w:p>
          <w:p w:rsidR="00927D8D" w:rsidRPr="00927D8D" w:rsidRDefault="00927D8D" w:rsidP="00927D8D">
            <w:pPr>
              <w:jc w:val="center"/>
              <w:rPr>
                <w:rFonts w:ascii="Palatino Linotype" w:hAnsi="Palatino Linotype"/>
                <w:b/>
                <w:color w:val="000000" w:themeColor="text1"/>
                <w:sz w:val="28"/>
                <w:szCs w:val="28"/>
              </w:rPr>
            </w:pPr>
            <w:r>
              <w:rPr>
                <w:rFonts w:ascii="Palatino Linotype" w:hAnsi="Palatino Linotype"/>
                <w:b/>
                <w:color w:val="000000" w:themeColor="text1"/>
                <w:sz w:val="28"/>
                <w:szCs w:val="28"/>
              </w:rPr>
              <w:t>Health Resources and Services Administration</w:t>
            </w:r>
          </w:p>
          <w:p w:rsidR="00927D8D" w:rsidRPr="000231FE" w:rsidRDefault="00927D8D" w:rsidP="00927D8D">
            <w:pPr>
              <w:ind w:left="151"/>
              <w:rPr>
                <w:rFonts w:ascii="Palatino Linotype" w:hAnsi="Palatino Linotype"/>
              </w:rPr>
            </w:pPr>
            <w:r w:rsidRPr="000231FE">
              <w:rPr>
                <w:rFonts w:ascii="Palatino Linotype" w:hAnsi="Palatino Linotype"/>
              </w:rPr>
              <w:t>The Health Resources and Services Administration (HRSA), an agency of the U.S. Department of Health and Human Services, is the primary federal agency for improving health care to people who are geographically isolated, economically or medically vulnerable.  HRSA’s vision is “Healthy Communities, Healthy People</w:t>
            </w:r>
            <w:r>
              <w:rPr>
                <w:rFonts w:ascii="Palatino Linotype" w:hAnsi="Palatino Linotype"/>
              </w:rPr>
              <w:t xml:space="preserve">” and their </w:t>
            </w:r>
            <w:r w:rsidRPr="000231FE">
              <w:rPr>
                <w:rFonts w:ascii="Palatino Linotype" w:hAnsi="Palatino Linotype"/>
              </w:rPr>
              <w:t>mission is “To improve health and achieve health equity through access to quality services, a skilled health workforce and innovative programs.”  (</w:t>
            </w:r>
            <w:hyperlink r:id="rId11" w:history="1">
              <w:r w:rsidRPr="000231FE">
                <w:rPr>
                  <w:rStyle w:val="Hyperlink"/>
                  <w:rFonts w:ascii="Palatino Linotype" w:hAnsi="Palatino Linotype"/>
                </w:rPr>
                <w:t>https://www.hrsa.gov/about/index.html</w:t>
              </w:r>
            </w:hyperlink>
            <w:r w:rsidRPr="000231FE">
              <w:rPr>
                <w:rFonts w:ascii="Palatino Linotype" w:hAnsi="Palatino Linotype"/>
              </w:rPr>
              <w:t>)</w:t>
            </w:r>
          </w:p>
          <w:p w:rsidR="00927D8D" w:rsidRPr="000231FE" w:rsidRDefault="00927D8D" w:rsidP="00927D8D">
            <w:pPr>
              <w:ind w:left="151"/>
              <w:rPr>
                <w:rFonts w:ascii="Palatino Linotype" w:hAnsi="Palatino Linotype"/>
              </w:rPr>
            </w:pPr>
            <w:r w:rsidRPr="000231FE">
              <w:rPr>
                <w:rFonts w:ascii="Palatino Linotype" w:hAnsi="Palatino Linotype"/>
              </w:rPr>
              <w:t xml:space="preserve">They also have five goals: </w:t>
            </w:r>
            <w:hyperlink r:id="rId12" w:history="1">
              <w:r w:rsidRPr="00777FED">
                <w:rPr>
                  <w:rStyle w:val="Hyperlink"/>
                  <w:rFonts w:ascii="Palatino Linotype" w:hAnsi="Palatino Linotype"/>
                </w:rPr>
                <w:t>Improve Access to Quality Care and Services</w:t>
              </w:r>
            </w:hyperlink>
            <w:r w:rsidRPr="000231FE">
              <w:rPr>
                <w:rFonts w:ascii="Palatino Linotype" w:hAnsi="Palatino Linotype"/>
              </w:rPr>
              <w:t xml:space="preserve">; </w:t>
            </w:r>
            <w:hyperlink r:id="rId13" w:history="1">
              <w:r w:rsidRPr="00777FED">
                <w:rPr>
                  <w:rStyle w:val="Hyperlink"/>
                  <w:rFonts w:ascii="Palatino Linotype" w:hAnsi="Palatino Linotype"/>
                </w:rPr>
                <w:t>Strengthen the Health Workforce</w:t>
              </w:r>
            </w:hyperlink>
            <w:r w:rsidRPr="000231FE">
              <w:rPr>
                <w:rFonts w:ascii="Palatino Linotype" w:hAnsi="Palatino Linotype"/>
              </w:rPr>
              <w:t xml:space="preserve">; </w:t>
            </w:r>
            <w:hyperlink r:id="rId14" w:history="1">
              <w:r w:rsidRPr="00777FED">
                <w:rPr>
                  <w:rStyle w:val="Hyperlink"/>
                  <w:rFonts w:ascii="Palatino Linotype" w:hAnsi="Palatino Linotype"/>
                </w:rPr>
                <w:t>Build Healthy Communities</w:t>
              </w:r>
            </w:hyperlink>
            <w:r w:rsidRPr="000231FE">
              <w:rPr>
                <w:rFonts w:ascii="Palatino Linotype" w:hAnsi="Palatino Linotype"/>
              </w:rPr>
              <w:t xml:space="preserve">; </w:t>
            </w:r>
            <w:hyperlink r:id="rId15" w:history="1">
              <w:r w:rsidRPr="00777FED">
                <w:rPr>
                  <w:rStyle w:val="Hyperlink"/>
                  <w:rFonts w:ascii="Palatino Linotype" w:hAnsi="Palatino Linotype"/>
                </w:rPr>
                <w:t>Improve Health Equity</w:t>
              </w:r>
            </w:hyperlink>
            <w:r w:rsidRPr="000231FE">
              <w:rPr>
                <w:rFonts w:ascii="Palatino Linotype" w:hAnsi="Palatino Linotype"/>
              </w:rPr>
              <w:t xml:space="preserve">; and </w:t>
            </w:r>
            <w:hyperlink r:id="rId16" w:history="1">
              <w:r w:rsidRPr="00777FED">
                <w:rPr>
                  <w:rStyle w:val="Hyperlink"/>
                  <w:rFonts w:ascii="Palatino Linotype" w:hAnsi="Palatino Linotype"/>
                </w:rPr>
                <w:t>Strengthen HRSA Program Management and Operations</w:t>
              </w:r>
            </w:hyperlink>
            <w:r w:rsidRPr="000231FE">
              <w:rPr>
                <w:rFonts w:ascii="Palatino Linotype" w:hAnsi="Palatino Linotype"/>
              </w:rPr>
              <w:t xml:space="preserve">.  </w:t>
            </w:r>
          </w:p>
          <w:p w:rsidR="00927D8D" w:rsidRDefault="00927D8D" w:rsidP="00927D8D">
            <w:pPr>
              <w:ind w:left="151"/>
              <w:rPr>
                <w:rFonts w:ascii="Palatino Linotype" w:hAnsi="Palatino Linotype"/>
              </w:rPr>
            </w:pPr>
            <w:r w:rsidRPr="000231FE">
              <w:rPr>
                <w:rFonts w:ascii="Palatino Linotype" w:hAnsi="Palatino Linotype"/>
              </w:rPr>
              <w:t xml:space="preserve">Within HRSA, there are five bureaus </w:t>
            </w:r>
            <w:r>
              <w:rPr>
                <w:rFonts w:ascii="Palatino Linotype" w:hAnsi="Palatino Linotype"/>
              </w:rPr>
              <w:t>(</w:t>
            </w:r>
            <w:hyperlink r:id="rId17" w:history="1">
              <w:r w:rsidRPr="00777FED">
                <w:rPr>
                  <w:rStyle w:val="Hyperlink"/>
                  <w:rFonts w:ascii="Palatino Linotype" w:hAnsi="Palatino Linotype"/>
                </w:rPr>
                <w:t>Health Workforce</w:t>
              </w:r>
            </w:hyperlink>
            <w:r>
              <w:rPr>
                <w:rFonts w:ascii="Palatino Linotype" w:hAnsi="Palatino Linotype"/>
              </w:rPr>
              <w:t xml:space="preserve">; </w:t>
            </w:r>
            <w:hyperlink r:id="rId18" w:history="1">
              <w:r w:rsidRPr="00777FED">
                <w:rPr>
                  <w:rStyle w:val="Hyperlink"/>
                  <w:rFonts w:ascii="Palatino Linotype" w:hAnsi="Palatino Linotype"/>
                </w:rPr>
                <w:t>Primary Health Care</w:t>
              </w:r>
            </w:hyperlink>
            <w:r>
              <w:rPr>
                <w:rFonts w:ascii="Palatino Linotype" w:hAnsi="Palatino Linotype"/>
              </w:rPr>
              <w:t xml:space="preserve">; </w:t>
            </w:r>
            <w:hyperlink r:id="rId19" w:history="1">
              <w:r w:rsidRPr="00777FED">
                <w:rPr>
                  <w:rStyle w:val="Hyperlink"/>
                  <w:rFonts w:ascii="Palatino Linotype" w:hAnsi="Palatino Linotype"/>
                </w:rPr>
                <w:t>Healthcare Systems</w:t>
              </w:r>
            </w:hyperlink>
            <w:r>
              <w:rPr>
                <w:rFonts w:ascii="Palatino Linotype" w:hAnsi="Palatino Linotype"/>
              </w:rPr>
              <w:t xml:space="preserve">; </w:t>
            </w:r>
            <w:hyperlink r:id="rId20" w:history="1">
              <w:r w:rsidRPr="00777FED">
                <w:rPr>
                  <w:rStyle w:val="Hyperlink"/>
                  <w:rFonts w:ascii="Palatino Linotype" w:hAnsi="Palatino Linotype"/>
                </w:rPr>
                <w:t>HIV/AIDS</w:t>
              </w:r>
            </w:hyperlink>
            <w:r>
              <w:rPr>
                <w:rFonts w:ascii="Palatino Linotype" w:hAnsi="Palatino Linotype"/>
              </w:rPr>
              <w:t xml:space="preserve">; and </w:t>
            </w:r>
            <w:hyperlink r:id="rId21" w:history="1">
              <w:r w:rsidRPr="00777FED">
                <w:rPr>
                  <w:rStyle w:val="Hyperlink"/>
                  <w:rFonts w:ascii="Palatino Linotype" w:hAnsi="Palatino Linotype"/>
                </w:rPr>
                <w:t>Maternal and Child Health</w:t>
              </w:r>
            </w:hyperlink>
            <w:r>
              <w:rPr>
                <w:rFonts w:ascii="Palatino Linotype" w:hAnsi="Palatino Linotype"/>
              </w:rPr>
              <w:t xml:space="preserve">) </w:t>
            </w:r>
            <w:r w:rsidRPr="000231FE">
              <w:rPr>
                <w:rFonts w:ascii="Palatino Linotype" w:hAnsi="Palatino Linotype"/>
              </w:rPr>
              <w:t>and eleven offices.  These divisions manage HRSA’s budget of which nearly 90% is awarded through grants and cooperative agreements to awardees that include community-based organizations, colleges and universities, hospitals, private entities, and state, local, and tribal governments.</w:t>
            </w:r>
            <w:r>
              <w:rPr>
                <w:rFonts w:ascii="Palatino Linotype" w:hAnsi="Palatino Linotype"/>
              </w:rPr>
              <w:t xml:space="preserve"> </w:t>
            </w:r>
            <w:r w:rsidRPr="000231FE">
              <w:rPr>
                <w:rFonts w:ascii="Palatino Linotype" w:hAnsi="Palatino Linotype"/>
              </w:rPr>
              <w:t xml:space="preserve">  </w:t>
            </w:r>
          </w:p>
          <w:p w:rsidR="00927D8D" w:rsidRDefault="00927D8D" w:rsidP="00927D8D">
            <w:pPr>
              <w:ind w:left="151"/>
              <w:rPr>
                <w:rFonts w:ascii="Palatino Linotype" w:hAnsi="Palatino Linotype"/>
              </w:rPr>
            </w:pPr>
            <w:r w:rsidRPr="000231FE">
              <w:rPr>
                <w:rFonts w:ascii="Palatino Linotype" w:hAnsi="Palatino Linotype"/>
              </w:rPr>
              <w:t xml:space="preserve">Available one-time and recurring grant opportunities cover many topics such as nursing research, nursing workforce development, </w:t>
            </w:r>
            <w:r>
              <w:rPr>
                <w:rFonts w:ascii="Palatino Linotype" w:hAnsi="Palatino Linotype"/>
              </w:rPr>
              <w:t xml:space="preserve">behavioral health </w:t>
            </w:r>
            <w:r w:rsidRPr="000231FE">
              <w:rPr>
                <w:rFonts w:ascii="Palatino Linotype" w:hAnsi="Palatino Linotype"/>
              </w:rPr>
              <w:t>programs</w:t>
            </w:r>
            <w:r>
              <w:rPr>
                <w:rFonts w:ascii="Palatino Linotype" w:hAnsi="Palatino Linotype"/>
              </w:rPr>
              <w:t xml:space="preserve">, child and maternal health, and other types of health careers.  Current funding opportunities are available </w:t>
            </w:r>
            <w:hyperlink r:id="rId22" w:history="1">
              <w:r w:rsidRPr="00984BCF">
                <w:rPr>
                  <w:rStyle w:val="Hyperlink"/>
                  <w:rFonts w:ascii="Palatino Linotype" w:hAnsi="Palatino Linotype"/>
                </w:rPr>
                <w:t>here</w:t>
              </w:r>
            </w:hyperlink>
            <w:r>
              <w:rPr>
                <w:rFonts w:ascii="Palatino Linotype" w:hAnsi="Palatino Linotype"/>
              </w:rPr>
              <w:t xml:space="preserve"> as well on each bureau’s website or in Grants.gov.</w:t>
            </w:r>
          </w:p>
          <w:p w:rsidR="00927D8D" w:rsidRDefault="00927D8D" w:rsidP="00927D8D">
            <w:pPr>
              <w:ind w:left="151"/>
              <w:rPr>
                <w:rFonts w:ascii="Palatino Linotype" w:hAnsi="Palatino Linotype"/>
              </w:rPr>
            </w:pPr>
            <w:r w:rsidRPr="000231FE">
              <w:rPr>
                <w:rFonts w:ascii="Palatino Linotype" w:hAnsi="Palatino Linotype"/>
              </w:rPr>
              <w:t xml:space="preserve">Through the Bureau of Health Workforce (BHW), the agency </w:t>
            </w:r>
            <w:r>
              <w:rPr>
                <w:rFonts w:ascii="Palatino Linotype" w:hAnsi="Palatino Linotype"/>
              </w:rPr>
              <w:t xml:space="preserve">also </w:t>
            </w:r>
            <w:r w:rsidRPr="000231FE">
              <w:rPr>
                <w:rFonts w:ascii="Palatino Linotype" w:hAnsi="Palatino Linotype"/>
              </w:rPr>
              <w:t xml:space="preserve">has multiple </w:t>
            </w:r>
            <w:hyperlink r:id="rId23" w:history="1">
              <w:r w:rsidRPr="000231FE">
                <w:rPr>
                  <w:rStyle w:val="Hyperlink"/>
                  <w:rFonts w:ascii="Palatino Linotype" w:hAnsi="Palatino Linotype"/>
                </w:rPr>
                <w:t>Loans and Scholarship</w:t>
              </w:r>
            </w:hyperlink>
            <w:r w:rsidRPr="000231FE">
              <w:rPr>
                <w:rFonts w:ascii="Palatino Linotype" w:hAnsi="Palatino Linotype"/>
              </w:rPr>
              <w:t xml:space="preserve"> programs to which institutions can apply for then distribute funds to students based on selection criteria or programs to which student applicants can apply for funds directly.</w:t>
            </w:r>
          </w:p>
          <w:p w:rsidR="00927D8D" w:rsidRPr="000231FE" w:rsidRDefault="00927D8D" w:rsidP="00927D8D">
            <w:pPr>
              <w:ind w:left="151"/>
              <w:rPr>
                <w:rFonts w:ascii="Palatino Linotype" w:hAnsi="Palatino Linotype"/>
              </w:rPr>
            </w:pPr>
            <w:r>
              <w:rPr>
                <w:rFonts w:ascii="Palatino Linotype" w:hAnsi="Palatino Linotype"/>
              </w:rPr>
              <w:lastRenderedPageBreak/>
              <w:t>For more information about HRSA grant opportunities or applying to the agency, please contact the Office of Sponsored Programs.</w:t>
            </w:r>
          </w:p>
          <w:p w:rsidR="00570E11" w:rsidRPr="00800DB9" w:rsidRDefault="00570E11" w:rsidP="00DB67C5">
            <w:pPr>
              <w:ind w:left="144"/>
              <w:rPr>
                <w:rFonts w:ascii="Palatino Linotype" w:hAnsi="Palatino Linotype"/>
                <w:color w:val="000000" w:themeColor="text1"/>
              </w:rPr>
            </w:pPr>
          </w:p>
        </w:tc>
      </w:tr>
      <w:tr w:rsidR="000A26AE" w:rsidRPr="00752727" w:rsidTr="00B63C7F">
        <w:trPr>
          <w:trHeight w:val="5750"/>
        </w:trPr>
        <w:tc>
          <w:tcPr>
            <w:tcW w:w="10615" w:type="dxa"/>
            <w:gridSpan w:val="10"/>
            <w:shd w:val="clear" w:color="auto" w:fill="auto"/>
            <w:tcMar>
              <w:top w:w="0" w:type="dxa"/>
              <w:left w:w="108" w:type="dxa"/>
              <w:bottom w:w="0" w:type="dxa"/>
              <w:right w:w="108" w:type="dxa"/>
            </w:tcMar>
          </w:tcPr>
          <w:p w:rsidR="007E782C" w:rsidRPr="007E782C" w:rsidRDefault="007E782C" w:rsidP="007E782C">
            <w:pPr>
              <w:spacing w:after="0" w:line="240" w:lineRule="auto"/>
              <w:jc w:val="center"/>
              <w:rPr>
                <w:rFonts w:ascii="Palatino Linotype" w:hAnsi="Palatino Linotype"/>
                <w:b/>
                <w:bCs/>
                <w:color w:val="385623" w:themeColor="accent6" w:themeShade="80"/>
                <w:sz w:val="16"/>
                <w:szCs w:val="16"/>
              </w:rPr>
            </w:pPr>
          </w:p>
          <w:p w:rsidR="00B63C7F" w:rsidRPr="00626D40" w:rsidRDefault="00B63C7F" w:rsidP="00B63C7F">
            <w:pPr>
              <w:rPr>
                <w:rFonts w:ascii="Palatino Linotype" w:hAnsi="Palatino Linotype"/>
                <w:b/>
                <w:color w:val="C45911" w:themeColor="accent2" w:themeShade="BF"/>
                <w:sz w:val="28"/>
                <w:szCs w:val="28"/>
                <w:u w:val="single"/>
              </w:rPr>
            </w:pPr>
            <w:r w:rsidRPr="00626D40">
              <w:rPr>
                <w:rFonts w:ascii="Palatino Linotype" w:hAnsi="Palatino Linotype"/>
                <w:b/>
                <w:color w:val="C45911" w:themeColor="accent2" w:themeShade="BF"/>
                <w:sz w:val="28"/>
                <w:szCs w:val="28"/>
                <w:u w:val="single"/>
              </w:rPr>
              <w:t>NSF Proposal &amp; Awards Policie</w:t>
            </w:r>
            <w:r>
              <w:rPr>
                <w:rFonts w:ascii="Palatino Linotype" w:hAnsi="Palatino Linotype"/>
                <w:b/>
                <w:color w:val="C45911" w:themeColor="accent2" w:themeShade="BF"/>
                <w:sz w:val="28"/>
                <w:szCs w:val="28"/>
                <w:u w:val="single"/>
              </w:rPr>
              <w:t xml:space="preserve">s and Procedures Guide (PAPPG) </w:t>
            </w:r>
            <w:r w:rsidRPr="00626D40">
              <w:rPr>
                <w:rFonts w:ascii="Palatino Linotype" w:hAnsi="Palatino Linotype"/>
                <w:b/>
                <w:color w:val="C45911" w:themeColor="accent2" w:themeShade="BF"/>
                <w:sz w:val="28"/>
                <w:szCs w:val="28"/>
                <w:u w:val="single"/>
              </w:rPr>
              <w:t>201</w:t>
            </w:r>
            <w:r>
              <w:rPr>
                <w:rFonts w:ascii="Palatino Linotype" w:hAnsi="Palatino Linotype"/>
                <w:b/>
                <w:color w:val="C45911" w:themeColor="accent2" w:themeShade="BF"/>
                <w:sz w:val="28"/>
                <w:szCs w:val="28"/>
                <w:u w:val="single"/>
              </w:rPr>
              <w:t>9</w:t>
            </w:r>
            <w:r w:rsidRPr="00626D40">
              <w:rPr>
                <w:rFonts w:ascii="Palatino Linotype" w:hAnsi="Palatino Linotype"/>
                <w:b/>
                <w:color w:val="C45911" w:themeColor="accent2" w:themeShade="BF"/>
                <w:sz w:val="28"/>
                <w:szCs w:val="28"/>
                <w:u w:val="single"/>
              </w:rPr>
              <w:t xml:space="preserve"> Update </w:t>
            </w:r>
          </w:p>
          <w:p w:rsidR="00B63C7F" w:rsidRPr="00B63C7F" w:rsidRDefault="00B63C7F" w:rsidP="00B63C7F">
            <w:pPr>
              <w:pStyle w:val="NormalWeb"/>
              <w:spacing w:before="0" w:beforeAutospacing="0" w:after="0" w:afterAutospacing="0"/>
              <w:rPr>
                <w:rStyle w:val="Strong"/>
                <w:rFonts w:ascii="Palatino Linotype" w:hAnsi="Palatino Linotype"/>
                <w:color w:val="000000" w:themeColor="text1"/>
                <w:sz w:val="22"/>
                <w:szCs w:val="22"/>
              </w:rPr>
            </w:pPr>
            <w:r w:rsidRPr="00B63C7F">
              <w:rPr>
                <w:rFonts w:ascii="Palatino Linotype" w:hAnsi="Palatino Linotype"/>
                <w:color w:val="000000" w:themeColor="text1"/>
                <w:sz w:val="22"/>
                <w:szCs w:val="22"/>
              </w:rPr>
              <w:t xml:space="preserve">The new PAPPG will be effective for </w:t>
            </w:r>
            <w:r w:rsidRPr="00B63C7F">
              <w:rPr>
                <w:rStyle w:val="Strong"/>
                <w:rFonts w:ascii="Palatino Linotype" w:hAnsi="Palatino Linotype"/>
                <w:color w:val="000000" w:themeColor="text1"/>
                <w:sz w:val="22"/>
                <w:szCs w:val="22"/>
              </w:rPr>
              <w:t>proposals submitted, or due, on or after January 28, 2019.</w:t>
            </w:r>
          </w:p>
          <w:p w:rsidR="00B63C7F" w:rsidRPr="00B63C7F" w:rsidRDefault="00B63C7F" w:rsidP="00B63C7F">
            <w:pPr>
              <w:pStyle w:val="NormalWeb"/>
              <w:spacing w:before="0" w:beforeAutospacing="0" w:after="0" w:afterAutospacing="0"/>
              <w:rPr>
                <w:rFonts w:ascii="Palatino Linotype" w:hAnsi="Palatino Linotype"/>
                <w:color w:val="000000" w:themeColor="text1"/>
                <w:sz w:val="22"/>
                <w:szCs w:val="22"/>
              </w:rPr>
            </w:pPr>
          </w:p>
          <w:p w:rsidR="00B63C7F" w:rsidRPr="00B63C7F" w:rsidRDefault="00B63C7F" w:rsidP="00B63C7F">
            <w:pPr>
              <w:pStyle w:val="NormalWeb"/>
              <w:spacing w:before="0" w:beforeAutospacing="0" w:after="0" w:afterAutospacing="0"/>
              <w:rPr>
                <w:rFonts w:ascii="Palatino Linotype" w:hAnsi="Palatino Linotype"/>
                <w:color w:val="000000" w:themeColor="text1"/>
                <w:sz w:val="22"/>
                <w:szCs w:val="22"/>
              </w:rPr>
            </w:pPr>
            <w:r w:rsidRPr="00B63C7F">
              <w:rPr>
                <w:rFonts w:ascii="Palatino Linotype" w:hAnsi="Palatino Linotype"/>
                <w:color w:val="000000" w:themeColor="text1"/>
                <w:sz w:val="22"/>
                <w:szCs w:val="22"/>
              </w:rPr>
              <w:t>Significant changes include:</w:t>
            </w:r>
          </w:p>
          <w:p w:rsidR="00B63C7F" w:rsidRPr="00B63C7F" w:rsidRDefault="004A4EB2" w:rsidP="00B63C7F">
            <w:pPr>
              <w:numPr>
                <w:ilvl w:val="0"/>
                <w:numId w:val="3"/>
              </w:numPr>
              <w:spacing w:after="0" w:line="240" w:lineRule="auto"/>
              <w:rPr>
                <w:rFonts w:ascii="Palatino Linotype" w:hAnsi="Palatino Linotype"/>
                <w:color w:val="000000" w:themeColor="text1"/>
              </w:rPr>
            </w:pPr>
            <w:r>
              <w:rPr>
                <w:rFonts w:ascii="Palatino Linotype" w:hAnsi="Palatino Linotype"/>
                <w:color w:val="000000" w:themeColor="text1"/>
              </w:rPr>
              <w:t>Information about the modernization of proposal preparation functionality in Research.gov</w:t>
            </w:r>
            <w:r w:rsidR="00B63C7F" w:rsidRPr="00B63C7F">
              <w:rPr>
                <w:rFonts w:ascii="Palatino Linotype" w:hAnsi="Palatino Linotype"/>
                <w:color w:val="000000" w:themeColor="text1"/>
              </w:rPr>
              <w:t>;</w:t>
            </w:r>
          </w:p>
          <w:p w:rsidR="00B63C7F" w:rsidRPr="00B63C7F" w:rsidRDefault="004A4EB2" w:rsidP="00B63C7F">
            <w:pPr>
              <w:numPr>
                <w:ilvl w:val="0"/>
                <w:numId w:val="3"/>
              </w:numPr>
              <w:spacing w:before="100" w:beforeAutospacing="1" w:after="100" w:afterAutospacing="1" w:line="240" w:lineRule="auto"/>
              <w:rPr>
                <w:rFonts w:ascii="Palatino Linotype" w:hAnsi="Palatino Linotype"/>
                <w:color w:val="000000" w:themeColor="text1"/>
              </w:rPr>
            </w:pPr>
            <w:r>
              <w:rPr>
                <w:rFonts w:ascii="Palatino Linotype" w:hAnsi="Palatino Linotype"/>
                <w:color w:val="000000" w:themeColor="text1"/>
              </w:rPr>
              <w:t>Information about the expanded use pf Dear Colleague Letters</w:t>
            </w:r>
            <w:r w:rsidR="00B63C7F" w:rsidRPr="00B63C7F">
              <w:rPr>
                <w:rFonts w:ascii="Palatino Linotype" w:hAnsi="Palatino Linotype"/>
                <w:color w:val="000000" w:themeColor="text1"/>
              </w:rPr>
              <w:t>;</w:t>
            </w:r>
          </w:p>
          <w:p w:rsidR="004A4EB2" w:rsidRDefault="004A4EB2" w:rsidP="00B63C7F">
            <w:pPr>
              <w:numPr>
                <w:ilvl w:val="0"/>
                <w:numId w:val="3"/>
              </w:numPr>
              <w:spacing w:before="100" w:beforeAutospacing="1" w:after="100" w:afterAutospacing="1" w:line="240" w:lineRule="auto"/>
              <w:rPr>
                <w:rFonts w:ascii="Palatino Linotype" w:hAnsi="Palatino Linotype"/>
                <w:color w:val="000000" w:themeColor="text1"/>
              </w:rPr>
            </w:pPr>
            <w:r>
              <w:rPr>
                <w:rFonts w:ascii="Palatino Linotype" w:hAnsi="Palatino Linotype"/>
                <w:color w:val="000000" w:themeColor="text1"/>
              </w:rPr>
              <w:t>Clarification that the description of work to be performed by a subaward entity must be included in the project description;</w:t>
            </w:r>
          </w:p>
          <w:p w:rsidR="004A4EB2" w:rsidRDefault="004A4EB2" w:rsidP="00B63C7F">
            <w:pPr>
              <w:numPr>
                <w:ilvl w:val="0"/>
                <w:numId w:val="3"/>
              </w:numPr>
              <w:spacing w:before="100" w:beforeAutospacing="1" w:after="100" w:afterAutospacing="1" w:line="240" w:lineRule="auto"/>
              <w:rPr>
                <w:rFonts w:ascii="Palatino Linotype" w:hAnsi="Palatino Linotype"/>
                <w:color w:val="000000" w:themeColor="text1"/>
              </w:rPr>
            </w:pPr>
            <w:r>
              <w:rPr>
                <w:rFonts w:ascii="Palatino Linotype" w:hAnsi="Palatino Linotype"/>
                <w:color w:val="000000" w:themeColor="text1"/>
              </w:rPr>
              <w:t>Specification of resubmission timelines for declined proposals for programs that accept proposals at any time;</w:t>
            </w:r>
          </w:p>
          <w:p w:rsidR="004A4EB2" w:rsidRDefault="004A4EB2" w:rsidP="00B63C7F">
            <w:pPr>
              <w:numPr>
                <w:ilvl w:val="0"/>
                <w:numId w:val="3"/>
              </w:numPr>
              <w:spacing w:before="100" w:beforeAutospacing="1" w:after="100" w:afterAutospacing="1" w:line="240" w:lineRule="auto"/>
              <w:rPr>
                <w:rFonts w:ascii="Palatino Linotype" w:hAnsi="Palatino Linotype"/>
                <w:color w:val="000000" w:themeColor="text1"/>
              </w:rPr>
            </w:pPr>
            <w:r>
              <w:rPr>
                <w:rFonts w:ascii="Palatino Linotype" w:hAnsi="Palatino Linotype"/>
                <w:color w:val="000000" w:themeColor="text1"/>
              </w:rPr>
              <w:t xml:space="preserve">Description of the process that NSF will use to confirm the amount of person-months devoted to a project; </w:t>
            </w:r>
          </w:p>
          <w:p w:rsidR="00B63C7F" w:rsidRPr="00B63C7F" w:rsidRDefault="004A4EB2" w:rsidP="00B63C7F">
            <w:pPr>
              <w:numPr>
                <w:ilvl w:val="0"/>
                <w:numId w:val="3"/>
              </w:numPr>
              <w:spacing w:before="100" w:beforeAutospacing="1" w:after="100" w:afterAutospacing="1" w:line="240" w:lineRule="auto"/>
              <w:rPr>
                <w:rFonts w:ascii="Palatino Linotype" w:hAnsi="Palatino Linotype"/>
                <w:color w:val="000000" w:themeColor="text1"/>
              </w:rPr>
            </w:pPr>
            <w:r>
              <w:rPr>
                <w:rFonts w:ascii="Palatino Linotype" w:hAnsi="Palatino Linotype"/>
                <w:color w:val="000000" w:themeColor="text1"/>
              </w:rPr>
              <w:t xml:space="preserve">Supplemental information about the NSF Policy on Sexual Harassment and Other Forms of Harassment; as well as </w:t>
            </w:r>
          </w:p>
          <w:p w:rsidR="00B63C7F" w:rsidRPr="00B63C7F" w:rsidRDefault="00B63C7F" w:rsidP="00B63C7F">
            <w:pPr>
              <w:numPr>
                <w:ilvl w:val="0"/>
                <w:numId w:val="3"/>
              </w:numPr>
              <w:spacing w:before="100" w:beforeAutospacing="1" w:after="100" w:afterAutospacing="1" w:line="240" w:lineRule="auto"/>
              <w:rPr>
                <w:rFonts w:ascii="Palatino Linotype" w:hAnsi="Palatino Linotype"/>
                <w:color w:val="000000" w:themeColor="text1"/>
              </w:rPr>
            </w:pPr>
            <w:r w:rsidRPr="00B63C7F">
              <w:rPr>
                <w:rFonts w:ascii="Palatino Linotype" w:hAnsi="Palatino Linotype"/>
                <w:color w:val="000000" w:themeColor="text1"/>
              </w:rPr>
              <w:t>Numerous clarifications and other changes throughout the document.</w:t>
            </w:r>
          </w:p>
          <w:p w:rsidR="00B63C7F" w:rsidRPr="00B63C7F" w:rsidRDefault="00B63C7F" w:rsidP="00B63C7F">
            <w:pPr>
              <w:spacing w:before="100" w:beforeAutospacing="1" w:after="100" w:afterAutospacing="1" w:line="240" w:lineRule="auto"/>
              <w:rPr>
                <w:rFonts w:ascii="Palatino Linotype" w:hAnsi="Palatino Linotype"/>
                <w:color w:val="000000" w:themeColor="text1"/>
              </w:rPr>
            </w:pPr>
            <w:r w:rsidRPr="00B63C7F">
              <w:rPr>
                <w:rFonts w:ascii="Palatino Linotype" w:hAnsi="Palatino Linotype"/>
                <w:color w:val="000000" w:themeColor="text1"/>
              </w:rPr>
              <w:t xml:space="preserve">The new documents is available at </w:t>
            </w:r>
            <w:hyperlink r:id="rId24" w:history="1">
              <w:r w:rsidRPr="00B63C7F">
                <w:rPr>
                  <w:rStyle w:val="Hyperlink"/>
                  <w:rFonts w:ascii="Palatino Linotype" w:hAnsi="Palatino Linotype"/>
                </w:rPr>
                <w:t>https://www.nsf.gov/publications/pub_summ.jsp?ods_key=nsf19001</w:t>
              </w:r>
            </w:hyperlink>
            <w:r w:rsidRPr="00B63C7F">
              <w:rPr>
                <w:rFonts w:ascii="Palatino Linotype" w:hAnsi="Palatino Linotype"/>
                <w:color w:val="000000" w:themeColor="text1"/>
              </w:rPr>
              <w:t>.</w:t>
            </w:r>
          </w:p>
          <w:p w:rsidR="00B72CD7" w:rsidRPr="00D269F8" w:rsidRDefault="00B63C7F" w:rsidP="004A4EB2">
            <w:pPr>
              <w:spacing w:before="100" w:beforeAutospacing="1" w:after="100" w:afterAutospacing="1" w:line="240" w:lineRule="auto"/>
              <w:rPr>
                <w:rStyle w:val="Strong"/>
                <w:rFonts w:ascii="Palatino Linotype" w:hAnsi="Palatino Linotype"/>
                <w:color w:val="385623" w:themeColor="accent6" w:themeShade="80"/>
                <w:sz w:val="28"/>
                <w:szCs w:val="28"/>
              </w:rPr>
            </w:pPr>
            <w:r w:rsidRPr="00B63C7F">
              <w:rPr>
                <w:rFonts w:ascii="Palatino Linotype" w:hAnsi="Palatino Linotype"/>
                <w:color w:val="000000" w:themeColor="text1"/>
              </w:rPr>
              <w:t xml:space="preserve">As a reminder, Research.gov can now be used for non-collaborative, independent research proposals.  More information on the </w:t>
            </w:r>
            <w:r w:rsidR="004A4EB2">
              <w:rPr>
                <w:rFonts w:ascii="Palatino Linotype" w:hAnsi="Palatino Linotype"/>
                <w:color w:val="000000" w:themeColor="text1"/>
              </w:rPr>
              <w:t xml:space="preserve">process for submitting proposals through </w:t>
            </w:r>
            <w:r w:rsidRPr="00B63C7F">
              <w:rPr>
                <w:rFonts w:ascii="Palatino Linotype" w:hAnsi="Palatino Linotype"/>
                <w:color w:val="000000" w:themeColor="text1"/>
              </w:rPr>
              <w:t>Research.gov will be provided by OSP in Spring 2019.</w:t>
            </w:r>
            <w:r w:rsidR="004A4EB2">
              <w:rPr>
                <w:rFonts w:ascii="Palatino Linotype" w:hAnsi="Palatino Linotype"/>
                <w:color w:val="000000" w:themeColor="text1"/>
              </w:rPr>
              <w:br/>
            </w:r>
          </w:p>
        </w:tc>
      </w:tr>
      <w:tr w:rsidR="00EA011A" w:rsidRPr="00752727" w:rsidTr="008A43DF">
        <w:trPr>
          <w:trHeight w:val="620"/>
        </w:trPr>
        <w:tc>
          <w:tcPr>
            <w:tcW w:w="3145" w:type="dxa"/>
            <w:gridSpan w:val="3"/>
          </w:tcPr>
          <w:tbl>
            <w:tblPr>
              <w:tblW w:w="3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ayout w:type="fixed"/>
              <w:tblLook w:val="04A0" w:firstRow="1" w:lastRow="0" w:firstColumn="1" w:lastColumn="0" w:noHBand="0" w:noVBand="1"/>
            </w:tblPr>
            <w:tblGrid>
              <w:gridCol w:w="3385"/>
            </w:tblGrid>
            <w:tr w:rsidR="00EA011A" w:rsidRPr="00752727" w:rsidTr="0040316E">
              <w:trPr>
                <w:trHeight w:val="872"/>
              </w:trPr>
              <w:tc>
                <w:tcPr>
                  <w:tcW w:w="3385" w:type="dxa"/>
                  <w:shd w:val="clear" w:color="auto" w:fill="FFC000"/>
                </w:tcPr>
                <w:p w:rsidR="00EA011A" w:rsidRPr="00752727" w:rsidRDefault="001E56D4" w:rsidP="00EA011A">
                  <w:pPr>
                    <w:spacing w:after="0" w:line="240" w:lineRule="auto"/>
                    <w:ind w:right="144"/>
                    <w:rPr>
                      <w:b/>
                      <w:i/>
                      <w:sz w:val="32"/>
                      <w:szCs w:val="32"/>
                    </w:rPr>
                  </w:pPr>
                  <w:r>
                    <w:br w:type="page"/>
                  </w:r>
                  <w:r w:rsidR="00EA011A" w:rsidRPr="00752727">
                    <w:rPr>
                      <w:b/>
                      <w:i/>
                      <w:sz w:val="32"/>
                      <w:szCs w:val="32"/>
                    </w:rPr>
                    <w:t>Search for Funding</w:t>
                  </w:r>
                </w:p>
                <w:p w:rsidR="00EA011A" w:rsidRPr="00752727" w:rsidRDefault="00EA011A" w:rsidP="00EA011A">
                  <w:pPr>
                    <w:spacing w:after="0" w:line="240" w:lineRule="auto"/>
                    <w:ind w:right="144"/>
                    <w:rPr>
                      <w:rFonts w:ascii="Arial" w:hAnsi="Arial" w:cs="Arial"/>
                      <w:sz w:val="20"/>
                      <w:szCs w:val="20"/>
                    </w:rPr>
                  </w:pPr>
                  <w:r w:rsidRPr="00752727">
                    <w:rPr>
                      <w:rFonts w:ascii="Arial" w:hAnsi="Arial" w:cs="Arial"/>
                      <w:sz w:val="20"/>
                      <w:szCs w:val="20"/>
                    </w:rPr>
                    <w:t>*Use online databases such as the subscription services provided through WPU’s Office of Sponsored Programs or free services available from the Federal Government or other programs*</w:t>
                  </w:r>
                </w:p>
                <w:p w:rsidR="00EA011A" w:rsidRPr="00752727" w:rsidRDefault="00EA011A" w:rsidP="00EA011A">
                  <w:pPr>
                    <w:spacing w:after="0" w:line="240" w:lineRule="auto"/>
                    <w:ind w:right="144"/>
                    <w:rPr>
                      <w:b/>
                      <w:i/>
                      <w:sz w:val="16"/>
                      <w:szCs w:val="16"/>
                    </w:rPr>
                  </w:pPr>
                </w:p>
                <w:p w:rsidR="00EA011A" w:rsidRPr="00752727" w:rsidRDefault="00927D8D" w:rsidP="00EA011A">
                  <w:pPr>
                    <w:spacing w:after="0" w:line="240" w:lineRule="auto"/>
                    <w:ind w:right="144"/>
                    <w:rPr>
                      <w:rFonts w:ascii="Arial" w:hAnsi="Arial" w:cs="Arial"/>
                      <w:color w:val="313131"/>
                      <w:bdr w:val="none" w:sz="0" w:space="0" w:color="auto" w:frame="1"/>
                    </w:rPr>
                  </w:pPr>
                  <w:hyperlink r:id="rId25" w:history="1">
                    <w:r w:rsidR="00EA011A" w:rsidRPr="00752727">
                      <w:rPr>
                        <w:rFonts w:ascii="Arial" w:hAnsi="Arial" w:cs="Arial"/>
                        <w:b/>
                        <w:color w:val="0000FF"/>
                        <w:u w:val="single"/>
                        <w:bdr w:val="none" w:sz="0" w:space="0" w:color="auto" w:frame="1"/>
                      </w:rPr>
                      <w:t>Grant Search</w:t>
                    </w:r>
                  </w:hyperlink>
                  <w:r w:rsidR="00EA011A" w:rsidRPr="00752727">
                    <w:rPr>
                      <w:rFonts w:ascii="Arial" w:hAnsi="Arial" w:cs="Arial"/>
                      <w:color w:val="313131"/>
                      <w:bdr w:val="none" w:sz="0" w:space="0" w:color="auto" w:frame="1"/>
                    </w:rPr>
                    <w:t xml:space="preserve"> </w:t>
                  </w:r>
                </w:p>
                <w:p w:rsidR="00EA011A" w:rsidRPr="00752727" w:rsidRDefault="00EA011A" w:rsidP="00EA011A">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Search for funding that is right for public colleges and universities.</w:t>
                  </w:r>
                </w:p>
                <w:p w:rsidR="00EA011A" w:rsidRPr="00752727" w:rsidRDefault="00EA011A" w:rsidP="00EA011A">
                  <w:pPr>
                    <w:spacing w:after="0" w:line="240" w:lineRule="auto"/>
                    <w:ind w:right="144"/>
                    <w:rPr>
                      <w:rFonts w:ascii="Arial" w:hAnsi="Arial" w:cs="Arial"/>
                      <w:color w:val="313131"/>
                      <w:sz w:val="16"/>
                      <w:szCs w:val="16"/>
                      <w:bdr w:val="none" w:sz="0" w:space="0" w:color="auto" w:frame="1"/>
                    </w:rPr>
                  </w:pPr>
                </w:p>
                <w:p w:rsidR="00EA011A" w:rsidRPr="00752727" w:rsidRDefault="00927D8D" w:rsidP="00EA011A">
                  <w:pPr>
                    <w:spacing w:after="0" w:line="240" w:lineRule="auto"/>
                    <w:ind w:right="144"/>
                    <w:rPr>
                      <w:rFonts w:ascii="Arial" w:hAnsi="Arial" w:cs="Arial"/>
                      <w:color w:val="313131"/>
                      <w:bdr w:val="none" w:sz="0" w:space="0" w:color="auto" w:frame="1"/>
                    </w:rPr>
                  </w:pPr>
                  <w:hyperlink r:id="rId26" w:history="1">
                    <w:r w:rsidR="00EA011A" w:rsidRPr="00752727">
                      <w:rPr>
                        <w:rFonts w:ascii="Arial" w:hAnsi="Arial" w:cs="Arial"/>
                        <w:b/>
                        <w:color w:val="0000FF"/>
                        <w:u w:val="single"/>
                        <w:bdr w:val="none" w:sz="0" w:space="0" w:color="auto" w:frame="1"/>
                      </w:rPr>
                      <w:t>Grants.gov</w:t>
                    </w:r>
                  </w:hyperlink>
                  <w:r w:rsidR="00EA011A" w:rsidRPr="00752727">
                    <w:rPr>
                      <w:rFonts w:ascii="Arial" w:hAnsi="Arial" w:cs="Arial"/>
                      <w:color w:val="313131"/>
                      <w:sz w:val="21"/>
                      <w:szCs w:val="21"/>
                      <w:shd w:val="clear" w:color="auto" w:fill="F7F8FA"/>
                    </w:rPr>
                    <w:t xml:space="preserve"> </w:t>
                  </w:r>
                </w:p>
                <w:p w:rsidR="00EA011A" w:rsidRPr="00752727" w:rsidRDefault="00EA011A" w:rsidP="00EA011A">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Federal portal to finding funding opportunities and applying for support.</w:t>
                  </w:r>
                </w:p>
                <w:p w:rsidR="00EA011A" w:rsidRPr="00752727" w:rsidRDefault="00EA011A" w:rsidP="00EA011A">
                  <w:pPr>
                    <w:spacing w:after="0" w:line="240" w:lineRule="auto"/>
                    <w:ind w:right="144"/>
                    <w:rPr>
                      <w:rFonts w:ascii="Arial" w:hAnsi="Arial" w:cs="Arial"/>
                      <w:b/>
                      <w:color w:val="313131"/>
                      <w:sz w:val="16"/>
                      <w:szCs w:val="16"/>
                      <w:bdr w:val="none" w:sz="0" w:space="0" w:color="auto" w:frame="1"/>
                    </w:rPr>
                  </w:pPr>
                </w:p>
                <w:p w:rsidR="00EA011A" w:rsidRPr="00752727" w:rsidRDefault="00927D8D" w:rsidP="00EA011A">
                  <w:pPr>
                    <w:spacing w:after="0" w:line="240" w:lineRule="auto"/>
                    <w:ind w:right="144"/>
                    <w:rPr>
                      <w:bdr w:val="none" w:sz="0" w:space="0" w:color="auto" w:frame="1"/>
                    </w:rPr>
                  </w:pPr>
                  <w:hyperlink r:id="rId27" w:history="1">
                    <w:r w:rsidR="00EA011A" w:rsidRPr="00752727">
                      <w:rPr>
                        <w:rFonts w:ascii="Arial" w:hAnsi="Arial" w:cs="Arial"/>
                        <w:b/>
                        <w:color w:val="0000FF"/>
                        <w:u w:val="single"/>
                        <w:bdr w:val="none" w:sz="0" w:space="0" w:color="auto" w:frame="1"/>
                      </w:rPr>
                      <w:t>Grant Resource Center</w:t>
                    </w:r>
                  </w:hyperlink>
                  <w:r w:rsidR="00EA011A" w:rsidRPr="00752727">
                    <w:rPr>
                      <w:bdr w:val="none" w:sz="0" w:space="0" w:color="auto" w:frame="1"/>
                    </w:rPr>
                    <w:t> </w:t>
                  </w:r>
                </w:p>
                <w:p w:rsidR="00EA011A" w:rsidRPr="00DB0F65" w:rsidRDefault="00EA011A" w:rsidP="00EA011A">
                  <w:pPr>
                    <w:spacing w:after="0" w:line="240" w:lineRule="auto"/>
                    <w:ind w:right="144"/>
                    <w:rPr>
                      <w:rFonts w:ascii="Arial" w:hAnsi="Arial" w:cs="Arial"/>
                      <w:color w:val="313131"/>
                      <w:sz w:val="21"/>
                      <w:szCs w:val="21"/>
                      <w:shd w:val="clear" w:color="auto" w:fill="F7F8FA"/>
                    </w:rPr>
                  </w:pPr>
                  <w:r w:rsidRPr="00752727">
                    <w:rPr>
                      <w:rFonts w:ascii="Arial" w:hAnsi="Arial" w:cs="Arial"/>
                      <w:color w:val="313131"/>
                      <w:bdr w:val="none" w:sz="0" w:space="0" w:color="auto" w:frame="1"/>
                    </w:rPr>
                    <w:t>Extensive information on federal and other funding opportunities.</w:t>
                  </w:r>
                </w:p>
              </w:tc>
            </w:tr>
          </w:tbl>
          <w:p w:rsidR="00EA011A" w:rsidRDefault="00EA011A" w:rsidP="00F27DB1">
            <w:pPr>
              <w:spacing w:before="120" w:after="0"/>
              <w:ind w:left="144" w:right="144"/>
              <w:jc w:val="center"/>
            </w:pPr>
            <w:r>
              <w:lastRenderedPageBreak/>
              <w:t>*****</w:t>
            </w:r>
          </w:p>
          <w:p w:rsidR="00AA59EE" w:rsidRDefault="00AA59EE" w:rsidP="001E42FF">
            <w:pPr>
              <w:spacing w:after="120" w:line="240" w:lineRule="auto"/>
              <w:rPr>
                <w:rFonts w:ascii="Times New Roman" w:hAnsi="Times New Roman"/>
                <w:sz w:val="24"/>
                <w:szCs w:val="24"/>
              </w:rPr>
            </w:pPr>
          </w:p>
        </w:tc>
        <w:tc>
          <w:tcPr>
            <w:tcW w:w="7470" w:type="dxa"/>
            <w:gridSpan w:val="7"/>
            <w:shd w:val="clear" w:color="auto" w:fill="auto"/>
          </w:tcPr>
          <w:p w:rsidR="000E1C67" w:rsidRDefault="00FC2DA7" w:rsidP="000E1C67">
            <w:pPr>
              <w:shd w:val="clear" w:color="auto" w:fill="FFFFFF"/>
              <w:spacing w:after="240" w:line="240" w:lineRule="auto"/>
              <w:jc w:val="center"/>
              <w:rPr>
                <w:rFonts w:ascii="Palatino Linotype" w:hAnsi="Palatino Linotype"/>
                <w:b/>
                <w:sz w:val="48"/>
                <w:szCs w:val="48"/>
                <w:u w:val="single"/>
              </w:rPr>
            </w:pPr>
            <w:r w:rsidRPr="000300C6">
              <w:rPr>
                <w:rFonts w:ascii="Palatino Linotype" w:hAnsi="Palatino Linotype"/>
                <w:b/>
                <w:sz w:val="48"/>
                <w:szCs w:val="48"/>
                <w:u w:val="single"/>
              </w:rPr>
              <w:lastRenderedPageBreak/>
              <w:t>Funding Opportunities</w:t>
            </w:r>
          </w:p>
          <w:p w:rsidR="008904E2" w:rsidRDefault="008904E2" w:rsidP="00454232">
            <w:pPr>
              <w:pStyle w:val="NormalWeb"/>
              <w:spacing w:before="0" w:beforeAutospacing="0" w:after="0" w:afterAutospacing="0"/>
              <w:ind w:left="144"/>
              <w:rPr>
                <w:rFonts w:ascii="Palatino Linotype" w:hAnsi="Palatino Linotype" w:cs="Arial"/>
                <w:b/>
                <w:i/>
                <w:sz w:val="20"/>
                <w:szCs w:val="20"/>
              </w:rPr>
            </w:pPr>
            <w:bookmarkStart w:id="1" w:name="MCC"/>
            <w:r w:rsidRPr="001A0C9A">
              <w:rPr>
                <w:rFonts w:ascii="Palatino Linotype" w:hAnsi="Palatino Linotype" w:cs="Arial"/>
                <w:b/>
                <w:sz w:val="20"/>
                <w:szCs w:val="20"/>
                <w:u w:val="single"/>
                <w:shd w:val="clear" w:color="auto" w:fill="FFFFFF"/>
              </w:rPr>
              <w:t>Partnerships with Millennium Challenge Corporation (MCC) Grant</w:t>
            </w:r>
            <w:r>
              <w:rPr>
                <w:rFonts w:ascii="Palatino Linotype" w:hAnsi="Palatino Linotype" w:cs="Arial"/>
                <w:b/>
                <w:i/>
                <w:sz w:val="20"/>
                <w:szCs w:val="20"/>
              </w:rPr>
              <w:t xml:space="preserve"> </w:t>
            </w:r>
          </w:p>
          <w:bookmarkEnd w:id="1"/>
          <w:p w:rsidR="008904E2" w:rsidRDefault="008904E2" w:rsidP="008904E2">
            <w:pPr>
              <w:pStyle w:val="NormalWeb"/>
              <w:spacing w:before="0" w:beforeAutospacing="0" w:after="0" w:afterAutospacing="0"/>
              <w:ind w:left="144"/>
              <w:rPr>
                <w:rFonts w:ascii="Palatino Linotype" w:hAnsi="Palatino Linotype" w:cs="Arial"/>
                <w:b/>
                <w:i/>
                <w:sz w:val="20"/>
                <w:szCs w:val="20"/>
              </w:rPr>
            </w:pPr>
            <w:r w:rsidRPr="008904E2">
              <w:rPr>
                <w:rFonts w:ascii="Palatino Linotype" w:hAnsi="Palatino Linotype" w:cs="Arial"/>
                <w:b/>
                <w:i/>
                <w:sz w:val="20"/>
                <w:szCs w:val="20"/>
              </w:rPr>
              <w:t>Millennium Challenge Corporation (MCC)</w:t>
            </w:r>
          </w:p>
          <w:p w:rsidR="00454232" w:rsidRDefault="008904E2" w:rsidP="008904E2">
            <w:pPr>
              <w:pStyle w:val="NormalWeb"/>
              <w:spacing w:before="0" w:beforeAutospacing="0" w:after="0" w:afterAutospacing="0"/>
              <w:ind w:left="144"/>
              <w:rPr>
                <w:rFonts w:ascii="Palatino Linotype" w:hAnsi="Palatino Linotype" w:cs="Arial"/>
                <w:sz w:val="20"/>
                <w:szCs w:val="20"/>
                <w:shd w:val="clear" w:color="auto" w:fill="FFFFFF"/>
              </w:rPr>
            </w:pPr>
            <w:r w:rsidRPr="008904E2">
              <w:rPr>
                <w:rFonts w:ascii="Palatino Linotype" w:hAnsi="Palatino Linotype" w:cs="Arial"/>
                <w:sz w:val="20"/>
                <w:szCs w:val="20"/>
                <w:shd w:val="clear" w:color="auto" w:fill="FFFFFF"/>
              </w:rPr>
              <w:t>The Millennium Challenge Corporation (MCC) is pleased to launch this Notice of Funding Opportunity (NOFO) Annual Program Statement (APS) for opportunities to support MCC in achieving our mission of poverty reduction through growth. Specifically, this NOFO is reaching out to organizations with demonstrated interest, relevant experience, creativity and know-how to participate in Partnerships with MCC to achieve specific outcomes and opti</w:t>
            </w:r>
            <w:r>
              <w:rPr>
                <w:rFonts w:ascii="Palatino Linotype" w:hAnsi="Palatino Linotype" w:cs="Arial"/>
                <w:sz w:val="20"/>
                <w:szCs w:val="20"/>
                <w:shd w:val="clear" w:color="auto" w:fill="FFFFFF"/>
              </w:rPr>
              <w:t xml:space="preserve">mize impact of our investments. </w:t>
            </w:r>
            <w:r w:rsidRPr="008904E2">
              <w:rPr>
                <w:rFonts w:ascii="Palatino Linotype" w:hAnsi="Palatino Linotype" w:cs="Arial"/>
                <w:sz w:val="20"/>
                <w:szCs w:val="20"/>
                <w:shd w:val="clear" w:color="auto" w:fill="FFFFFF"/>
              </w:rPr>
              <w:t xml:space="preserve">The closing date for applications is December 31, 2018. For more information please visit </w:t>
            </w:r>
            <w:hyperlink r:id="rId28" w:history="1">
              <w:r w:rsidRPr="008904E2">
                <w:rPr>
                  <w:rStyle w:val="Hyperlink"/>
                  <w:rFonts w:ascii="Palatino Linotype" w:hAnsi="Palatino Linotype" w:cs="Arial"/>
                  <w:sz w:val="20"/>
                  <w:szCs w:val="20"/>
                  <w:shd w:val="clear" w:color="auto" w:fill="FFFFFF"/>
                </w:rPr>
                <w:t>grants.gov</w:t>
              </w:r>
            </w:hyperlink>
            <w:r w:rsidRPr="008904E2">
              <w:rPr>
                <w:rFonts w:ascii="Palatino Linotype" w:hAnsi="Palatino Linotype" w:cs="Arial"/>
                <w:sz w:val="20"/>
                <w:szCs w:val="20"/>
                <w:shd w:val="clear" w:color="auto" w:fill="FFFFFF"/>
              </w:rPr>
              <w:t>; you can see the full announcement under the ‘Related Documents’ tab on that page.</w:t>
            </w:r>
          </w:p>
          <w:p w:rsidR="008904E2" w:rsidRPr="008904E2" w:rsidRDefault="008904E2" w:rsidP="008904E2">
            <w:pPr>
              <w:pStyle w:val="NormalWeb"/>
              <w:spacing w:before="0" w:beforeAutospacing="0" w:after="0" w:afterAutospacing="0"/>
              <w:ind w:left="144"/>
              <w:rPr>
                <w:rFonts w:ascii="Palatino Linotype" w:hAnsi="Palatino Linotype" w:cs="Arial"/>
                <w:b/>
                <w:i/>
                <w:sz w:val="20"/>
                <w:szCs w:val="20"/>
              </w:rPr>
            </w:pPr>
          </w:p>
          <w:p w:rsidR="008904E2" w:rsidRDefault="008904E2" w:rsidP="00454232">
            <w:pPr>
              <w:pStyle w:val="NormalWeb"/>
              <w:shd w:val="clear" w:color="auto" w:fill="FFFFFF"/>
              <w:spacing w:before="0" w:beforeAutospacing="0" w:after="0" w:afterAutospacing="0"/>
              <w:ind w:left="144"/>
              <w:textAlignment w:val="baseline"/>
              <w:rPr>
                <w:rFonts w:ascii="Palatino Linotype" w:hAnsi="Palatino Linotype"/>
                <w:b/>
                <w:sz w:val="20"/>
                <w:szCs w:val="20"/>
                <w:u w:val="single"/>
                <w:shd w:val="clear" w:color="auto" w:fill="FFFFFF"/>
              </w:rPr>
            </w:pPr>
            <w:bookmarkStart w:id="2" w:name="ONES"/>
            <w:r w:rsidRPr="008904E2">
              <w:rPr>
                <w:rFonts w:ascii="Palatino Linotype" w:hAnsi="Palatino Linotype"/>
                <w:b/>
                <w:sz w:val="20"/>
                <w:szCs w:val="20"/>
                <w:u w:val="single"/>
                <w:shd w:val="clear" w:color="auto" w:fill="FFFFFF"/>
              </w:rPr>
              <w:t>Outstanding New Environmental Scientist (ONES)</w:t>
            </w:r>
          </w:p>
          <w:bookmarkEnd w:id="2"/>
          <w:p w:rsidR="008904E2" w:rsidRDefault="008904E2" w:rsidP="00454232">
            <w:pPr>
              <w:shd w:val="clear" w:color="auto" w:fill="FFFFFF"/>
              <w:spacing w:after="0" w:line="240" w:lineRule="auto"/>
              <w:ind w:left="144"/>
              <w:rPr>
                <w:rFonts w:ascii="Palatino Linotype" w:eastAsia="Times New Roman" w:hAnsi="Palatino Linotype"/>
                <w:b/>
                <w:i/>
                <w:sz w:val="20"/>
                <w:szCs w:val="20"/>
                <w:shd w:val="clear" w:color="auto" w:fill="FFFFFF"/>
              </w:rPr>
            </w:pPr>
            <w:r w:rsidRPr="008904E2">
              <w:rPr>
                <w:rFonts w:ascii="Palatino Linotype" w:eastAsia="Times New Roman" w:hAnsi="Palatino Linotype"/>
                <w:b/>
                <w:i/>
                <w:sz w:val="20"/>
                <w:szCs w:val="20"/>
                <w:shd w:val="clear" w:color="auto" w:fill="FFFFFF"/>
              </w:rPr>
              <w:lastRenderedPageBreak/>
              <w:t>National Institutes of Health (NIH)</w:t>
            </w:r>
          </w:p>
          <w:p w:rsidR="00AF3F24" w:rsidRDefault="008904E2" w:rsidP="008904E2">
            <w:pPr>
              <w:shd w:val="clear" w:color="auto" w:fill="FFFFFF"/>
              <w:spacing w:after="0" w:line="240" w:lineRule="auto"/>
              <w:ind w:left="144"/>
              <w:rPr>
                <w:rFonts w:ascii="Palatino Linotype" w:eastAsia="Times New Roman" w:hAnsi="Palatino Linotype"/>
                <w:sz w:val="20"/>
                <w:szCs w:val="20"/>
                <w:shd w:val="clear" w:color="auto" w:fill="FFFFFF"/>
              </w:rPr>
            </w:pPr>
            <w:r w:rsidRPr="008904E2">
              <w:rPr>
                <w:rFonts w:ascii="Palatino Linotype" w:eastAsia="Times New Roman" w:hAnsi="Palatino Linotype"/>
                <w:sz w:val="20"/>
                <w:szCs w:val="20"/>
                <w:shd w:val="clear" w:color="auto" w:fill="FFFFFF"/>
              </w:rPr>
              <w:t>This notice is seeking applications to launch an innovative research program with a defined impact in the environmental health sciences. The programs promotes career advancement of the most highly creative and promising new scientists who intend to make a long-term career commitment to research in the mainstream of the environmental health sciences, and bring innovative, ground-breaking research initiatives and thinking to bear on the problems of how environmental exposures affect hu</w:t>
            </w:r>
            <w:r>
              <w:rPr>
                <w:rFonts w:ascii="Palatino Linotype" w:eastAsia="Times New Roman" w:hAnsi="Palatino Linotype"/>
                <w:sz w:val="20"/>
                <w:szCs w:val="20"/>
                <w:shd w:val="clear" w:color="auto" w:fill="FFFFFF"/>
              </w:rPr>
              <w:t xml:space="preserve">man health. </w:t>
            </w:r>
            <w:r w:rsidRPr="008904E2">
              <w:rPr>
                <w:rFonts w:ascii="Palatino Linotype" w:eastAsia="Times New Roman" w:hAnsi="Palatino Linotype"/>
                <w:sz w:val="20"/>
                <w:szCs w:val="20"/>
                <w:shd w:val="clear" w:color="auto" w:fill="FFFFFF"/>
              </w:rPr>
              <w:t xml:space="preserve">The deadline for proposals is February 28, 2019.  An optional letter of intent is due 30 days before the deadline. For more information visit </w:t>
            </w:r>
            <w:hyperlink r:id="rId29" w:history="1">
              <w:r w:rsidRPr="008904E2">
                <w:rPr>
                  <w:rStyle w:val="Hyperlink"/>
                  <w:rFonts w:ascii="Palatino Linotype" w:eastAsia="Times New Roman" w:hAnsi="Palatino Linotype"/>
                  <w:sz w:val="20"/>
                  <w:szCs w:val="20"/>
                  <w:shd w:val="clear" w:color="auto" w:fill="FFFFFF"/>
                </w:rPr>
                <w:t>nih.gov</w:t>
              </w:r>
            </w:hyperlink>
            <w:r w:rsidRPr="008904E2">
              <w:rPr>
                <w:rFonts w:ascii="Palatino Linotype" w:eastAsia="Times New Roman" w:hAnsi="Palatino Linotype"/>
                <w:sz w:val="20"/>
                <w:szCs w:val="20"/>
                <w:shd w:val="clear" w:color="auto" w:fill="FFFFFF"/>
              </w:rPr>
              <w:t>.</w:t>
            </w:r>
          </w:p>
          <w:p w:rsidR="008904E2" w:rsidRPr="008904E2" w:rsidRDefault="008904E2" w:rsidP="008904E2">
            <w:pPr>
              <w:shd w:val="clear" w:color="auto" w:fill="FFFFFF"/>
              <w:spacing w:after="0" w:line="240" w:lineRule="auto"/>
              <w:ind w:left="144"/>
              <w:rPr>
                <w:rFonts w:ascii="Palatino Linotype" w:eastAsia="Times New Roman" w:hAnsi="Palatino Linotype"/>
                <w:sz w:val="20"/>
                <w:szCs w:val="20"/>
                <w:shd w:val="clear" w:color="auto" w:fill="FFFFFF"/>
              </w:rPr>
            </w:pPr>
          </w:p>
          <w:p w:rsidR="008904E2" w:rsidRDefault="008904E2" w:rsidP="00454232">
            <w:pPr>
              <w:shd w:val="clear" w:color="auto" w:fill="FFFFFF"/>
              <w:spacing w:after="0" w:line="240" w:lineRule="auto"/>
              <w:ind w:left="144"/>
              <w:rPr>
                <w:rFonts w:ascii="Palatino Linotype" w:hAnsi="Palatino Linotype"/>
                <w:b/>
                <w:sz w:val="20"/>
                <w:szCs w:val="20"/>
                <w:u w:val="single"/>
              </w:rPr>
            </w:pPr>
            <w:bookmarkStart w:id="3" w:name="NIOSH"/>
            <w:r w:rsidRPr="008904E2">
              <w:rPr>
                <w:rFonts w:ascii="Palatino Linotype" w:hAnsi="Palatino Linotype"/>
                <w:b/>
                <w:sz w:val="20"/>
                <w:szCs w:val="20"/>
                <w:u w:val="single"/>
              </w:rPr>
              <w:t>NIOSH Small Research Program</w:t>
            </w:r>
          </w:p>
          <w:bookmarkEnd w:id="3"/>
          <w:p w:rsidR="008904E2" w:rsidRDefault="008904E2" w:rsidP="00AF3F24">
            <w:pPr>
              <w:shd w:val="clear" w:color="auto" w:fill="FFFFFF"/>
              <w:spacing w:after="0" w:line="240" w:lineRule="auto"/>
              <w:ind w:left="144"/>
              <w:rPr>
                <w:rFonts w:ascii="Palatino Linotype" w:hAnsi="Palatino Linotype"/>
                <w:b/>
                <w:i/>
                <w:sz w:val="20"/>
                <w:szCs w:val="20"/>
              </w:rPr>
            </w:pPr>
            <w:r w:rsidRPr="008904E2">
              <w:rPr>
                <w:rFonts w:ascii="Palatino Linotype" w:hAnsi="Palatino Linotype"/>
                <w:b/>
                <w:i/>
                <w:sz w:val="20"/>
                <w:szCs w:val="20"/>
              </w:rPr>
              <w:t>Centers for Disease Control and Prevention (CDC)</w:t>
            </w:r>
          </w:p>
          <w:p w:rsidR="008904E2" w:rsidRPr="008904E2" w:rsidRDefault="008904E2" w:rsidP="008904E2">
            <w:pPr>
              <w:shd w:val="clear" w:color="auto" w:fill="FFFFFF"/>
              <w:spacing w:after="0" w:line="240" w:lineRule="auto"/>
              <w:ind w:left="144"/>
              <w:rPr>
                <w:rFonts w:ascii="Palatino Linotype" w:hAnsi="Palatino Linotype"/>
                <w:sz w:val="20"/>
                <w:szCs w:val="20"/>
              </w:rPr>
            </w:pPr>
            <w:r w:rsidRPr="008904E2">
              <w:rPr>
                <w:rFonts w:ascii="Palatino Linotype" w:hAnsi="Palatino Linotype"/>
                <w:sz w:val="20"/>
                <w:szCs w:val="20"/>
              </w:rPr>
              <w:t>This program supports small grants to develop an understanding of the risks and conditions associated with occupational diseases and injuries, to explore methods for reducing risks and for preventing or minimizing exposure to hazardous conditions in the workplace, and to translate significant scientific findings into prevention practices and products that will effectively reduce work-related illnesses and injuries.</w:t>
            </w:r>
          </w:p>
          <w:p w:rsidR="00041944" w:rsidRDefault="008904E2" w:rsidP="008904E2">
            <w:pPr>
              <w:shd w:val="clear" w:color="auto" w:fill="FFFFFF"/>
              <w:spacing w:after="0" w:line="240" w:lineRule="auto"/>
              <w:ind w:left="144"/>
              <w:rPr>
                <w:rFonts w:ascii="Palatino Linotype" w:hAnsi="Palatino Linotype"/>
                <w:sz w:val="20"/>
                <w:szCs w:val="20"/>
              </w:rPr>
            </w:pPr>
            <w:r w:rsidRPr="008904E2">
              <w:rPr>
                <w:rFonts w:ascii="Palatino Linotype" w:hAnsi="Palatino Linotype"/>
                <w:sz w:val="20"/>
                <w:szCs w:val="20"/>
              </w:rPr>
              <w:t xml:space="preserve">The next deadline for application is February 16, 2019. For more information visit </w:t>
            </w:r>
            <w:hyperlink r:id="rId30" w:history="1">
              <w:r w:rsidRPr="008904E2">
                <w:rPr>
                  <w:rStyle w:val="Hyperlink"/>
                  <w:rFonts w:ascii="Palatino Linotype" w:hAnsi="Palatino Linotype"/>
                  <w:sz w:val="20"/>
                  <w:szCs w:val="20"/>
                </w:rPr>
                <w:t>nih.gov</w:t>
              </w:r>
            </w:hyperlink>
            <w:r w:rsidRPr="008904E2">
              <w:rPr>
                <w:rFonts w:ascii="Palatino Linotype" w:hAnsi="Palatino Linotype"/>
                <w:sz w:val="20"/>
                <w:szCs w:val="20"/>
              </w:rPr>
              <w:t>.</w:t>
            </w:r>
          </w:p>
          <w:p w:rsidR="008904E2" w:rsidRDefault="008904E2" w:rsidP="008904E2">
            <w:pPr>
              <w:shd w:val="clear" w:color="auto" w:fill="FFFFFF"/>
              <w:spacing w:after="0" w:line="240" w:lineRule="auto"/>
              <w:ind w:left="144"/>
              <w:rPr>
                <w:rFonts w:ascii="Palatino Linotype" w:hAnsi="Palatino Linotype"/>
                <w:sz w:val="20"/>
                <w:szCs w:val="20"/>
              </w:rPr>
            </w:pPr>
          </w:p>
          <w:p w:rsidR="00301934" w:rsidRPr="00301934" w:rsidRDefault="00301934" w:rsidP="00301934">
            <w:pPr>
              <w:shd w:val="clear" w:color="auto" w:fill="FFFFFF"/>
              <w:spacing w:after="0" w:line="240" w:lineRule="auto"/>
              <w:ind w:left="144"/>
              <w:rPr>
                <w:rFonts w:ascii="Palatino Linotype" w:hAnsi="Palatino Linotype"/>
                <w:b/>
                <w:sz w:val="20"/>
                <w:szCs w:val="20"/>
                <w:u w:val="single"/>
              </w:rPr>
            </w:pPr>
            <w:bookmarkStart w:id="4" w:name="PAC"/>
            <w:r w:rsidRPr="00301934">
              <w:rPr>
                <w:rFonts w:ascii="Palatino Linotype" w:hAnsi="Palatino Linotype"/>
                <w:b/>
                <w:sz w:val="20"/>
                <w:szCs w:val="20"/>
                <w:u w:val="single"/>
              </w:rPr>
              <w:t>Perception, Action &amp; Cognition (PAC)</w:t>
            </w:r>
          </w:p>
          <w:bookmarkEnd w:id="4"/>
          <w:p w:rsidR="00301934" w:rsidRPr="00301934" w:rsidRDefault="00301934" w:rsidP="00301934">
            <w:pPr>
              <w:shd w:val="clear" w:color="auto" w:fill="FFFFFF"/>
              <w:spacing w:after="0" w:line="240" w:lineRule="auto"/>
              <w:ind w:left="144"/>
              <w:rPr>
                <w:rFonts w:ascii="Palatino Linotype" w:hAnsi="Palatino Linotype"/>
                <w:b/>
                <w:i/>
                <w:sz w:val="20"/>
                <w:szCs w:val="20"/>
              </w:rPr>
            </w:pPr>
            <w:r w:rsidRPr="00301934">
              <w:rPr>
                <w:rFonts w:ascii="Palatino Linotype" w:hAnsi="Palatino Linotype"/>
                <w:b/>
                <w:i/>
                <w:sz w:val="20"/>
                <w:szCs w:val="20"/>
              </w:rPr>
              <w:t>National Science Foundation (NSF)</w:t>
            </w:r>
          </w:p>
          <w:p w:rsidR="00301934" w:rsidRPr="00301934" w:rsidRDefault="00301934" w:rsidP="00301934">
            <w:pPr>
              <w:shd w:val="clear" w:color="auto" w:fill="FFFFFF"/>
              <w:spacing w:after="0" w:line="240" w:lineRule="auto"/>
              <w:ind w:left="144"/>
              <w:rPr>
                <w:rFonts w:ascii="Palatino Linotype" w:hAnsi="Palatino Linotype"/>
                <w:sz w:val="20"/>
                <w:szCs w:val="20"/>
              </w:rPr>
            </w:pPr>
            <w:r w:rsidRPr="00301934">
              <w:rPr>
                <w:rFonts w:ascii="Palatino Linotype" w:hAnsi="Palatino Linotype"/>
                <w:sz w:val="20"/>
                <w:szCs w:val="20"/>
              </w:rPr>
              <w:t>The PAC program funds theoretically motivated research on a wide-range of topic areas focused on typical human behavior. The aim is to enhance the fundamental understanding of perceptual, motor, and cognitive processes and their interactions. Central research topics for consideration by the program include (but are not limited to) vision, audition, haptics, attention, memory, reasoning, written and spoken language, motor control, categorization, and spatial cognition.</w:t>
            </w:r>
          </w:p>
          <w:p w:rsidR="00301934" w:rsidRDefault="00301934" w:rsidP="00301934">
            <w:pPr>
              <w:shd w:val="clear" w:color="auto" w:fill="FFFFFF"/>
              <w:spacing w:after="0" w:line="240" w:lineRule="auto"/>
              <w:ind w:left="144"/>
              <w:rPr>
                <w:rFonts w:ascii="Palatino Linotype" w:hAnsi="Palatino Linotype"/>
                <w:sz w:val="20"/>
                <w:szCs w:val="20"/>
              </w:rPr>
            </w:pPr>
            <w:r w:rsidRPr="00301934">
              <w:rPr>
                <w:rFonts w:ascii="Palatino Linotype" w:hAnsi="Palatino Linotype"/>
                <w:sz w:val="20"/>
                <w:szCs w:val="20"/>
              </w:rPr>
              <w:t xml:space="preserve">Proposals are due by February 01, 2018. For more information visit </w:t>
            </w:r>
            <w:hyperlink r:id="rId31" w:history="1">
              <w:r w:rsidRPr="00301934">
                <w:rPr>
                  <w:rStyle w:val="Hyperlink"/>
                  <w:rFonts w:ascii="Palatino Linotype" w:hAnsi="Palatino Linotype"/>
                  <w:sz w:val="20"/>
                  <w:szCs w:val="20"/>
                </w:rPr>
                <w:t>nsf.gov.</w:t>
              </w:r>
            </w:hyperlink>
          </w:p>
          <w:p w:rsidR="00301934" w:rsidRPr="00AF3F24" w:rsidRDefault="00301934" w:rsidP="008904E2">
            <w:pPr>
              <w:shd w:val="clear" w:color="auto" w:fill="FFFFFF"/>
              <w:spacing w:after="0" w:line="240" w:lineRule="auto"/>
              <w:ind w:left="144"/>
              <w:rPr>
                <w:rFonts w:ascii="Palatino Linotype" w:hAnsi="Palatino Linotype"/>
                <w:sz w:val="20"/>
                <w:szCs w:val="20"/>
              </w:rPr>
            </w:pPr>
          </w:p>
          <w:p w:rsidR="008904E2" w:rsidRDefault="008904E2" w:rsidP="00454232">
            <w:pPr>
              <w:shd w:val="clear" w:color="auto" w:fill="FFFFFF"/>
              <w:spacing w:after="0" w:line="240" w:lineRule="auto"/>
              <w:ind w:left="144"/>
              <w:rPr>
                <w:rFonts w:ascii="Palatino Linotype" w:hAnsi="Palatino Linotype"/>
                <w:b/>
                <w:sz w:val="20"/>
                <w:szCs w:val="20"/>
                <w:u w:val="single"/>
              </w:rPr>
            </w:pPr>
            <w:bookmarkStart w:id="5" w:name="FSRMBA"/>
            <w:r w:rsidRPr="008904E2">
              <w:rPr>
                <w:rFonts w:ascii="Palatino Linotype" w:hAnsi="Palatino Linotype"/>
                <w:b/>
                <w:sz w:val="20"/>
                <w:szCs w:val="20"/>
                <w:u w:val="single"/>
              </w:rPr>
              <w:t>Fundamental Science Research on Mind and Body Approaches</w:t>
            </w:r>
          </w:p>
          <w:bookmarkEnd w:id="5"/>
          <w:p w:rsidR="008904E2" w:rsidRDefault="008904E2" w:rsidP="00454232">
            <w:pPr>
              <w:shd w:val="clear" w:color="auto" w:fill="FFFFFF"/>
              <w:spacing w:after="0" w:line="240" w:lineRule="auto"/>
              <w:ind w:left="144"/>
              <w:rPr>
                <w:rFonts w:ascii="Palatino Linotype" w:hAnsi="Palatino Linotype"/>
                <w:b/>
                <w:i/>
                <w:sz w:val="20"/>
                <w:szCs w:val="20"/>
              </w:rPr>
            </w:pPr>
            <w:r w:rsidRPr="008904E2">
              <w:rPr>
                <w:rFonts w:ascii="Palatino Linotype" w:hAnsi="Palatino Linotype"/>
                <w:b/>
                <w:i/>
                <w:sz w:val="20"/>
                <w:szCs w:val="20"/>
              </w:rPr>
              <w:t>National Institutes of Health (NIH)</w:t>
            </w:r>
          </w:p>
          <w:p w:rsidR="008904E2" w:rsidRPr="008904E2" w:rsidRDefault="008904E2" w:rsidP="008904E2">
            <w:pPr>
              <w:shd w:val="clear" w:color="auto" w:fill="FFFFFF"/>
              <w:spacing w:after="0" w:line="240" w:lineRule="auto"/>
              <w:ind w:left="144"/>
              <w:rPr>
                <w:rFonts w:ascii="Palatino Linotype" w:hAnsi="Palatino Linotype"/>
                <w:sz w:val="20"/>
                <w:szCs w:val="20"/>
              </w:rPr>
            </w:pPr>
            <w:r w:rsidRPr="008904E2">
              <w:rPr>
                <w:rFonts w:ascii="Palatino Linotype" w:hAnsi="Palatino Linotype"/>
                <w:sz w:val="20"/>
                <w:szCs w:val="20"/>
              </w:rPr>
              <w:t>This notice seeks applications to investigate the fundamental science of mind and body approaches, including mind/brain-focused practices (e.g., meditation, hypnosis), body-based approaches (e.g., acupuncture, massage, spinal manipulation/mobilization), meditative exercise (e.g., yoga, tai chi, qi gong), art and music therapies, or integrative approaches combining several components.</w:t>
            </w:r>
          </w:p>
          <w:p w:rsidR="00454232" w:rsidRDefault="008904E2" w:rsidP="008904E2">
            <w:pPr>
              <w:spacing w:after="0"/>
              <w:ind w:left="144"/>
              <w:rPr>
                <w:rFonts w:ascii="Palatino Linotype" w:hAnsi="Palatino Linotype"/>
                <w:sz w:val="20"/>
                <w:szCs w:val="20"/>
              </w:rPr>
            </w:pPr>
            <w:r w:rsidRPr="008904E2">
              <w:rPr>
                <w:rFonts w:ascii="Palatino Linotype" w:hAnsi="Palatino Linotype"/>
                <w:sz w:val="20"/>
                <w:szCs w:val="20"/>
              </w:rPr>
              <w:t xml:space="preserve">The next deadline for applications is February 05, 2019. For more information visit </w:t>
            </w:r>
            <w:hyperlink r:id="rId32" w:history="1">
              <w:r w:rsidRPr="008904E2">
                <w:rPr>
                  <w:rStyle w:val="Hyperlink"/>
                  <w:rFonts w:ascii="Palatino Linotype" w:hAnsi="Palatino Linotype"/>
                  <w:sz w:val="20"/>
                  <w:szCs w:val="20"/>
                </w:rPr>
                <w:t>nih.gov.</w:t>
              </w:r>
            </w:hyperlink>
          </w:p>
          <w:p w:rsidR="008904E2" w:rsidRPr="00E06FE4" w:rsidRDefault="008904E2" w:rsidP="008904E2">
            <w:pPr>
              <w:spacing w:after="0"/>
              <w:ind w:left="144"/>
              <w:rPr>
                <w:rFonts w:ascii="Palatino Linotype" w:hAnsi="Palatino Linotype"/>
                <w:b/>
                <w:color w:val="000000" w:themeColor="text1"/>
                <w:sz w:val="20"/>
                <w:szCs w:val="20"/>
                <w:u w:val="single"/>
              </w:rPr>
            </w:pPr>
          </w:p>
          <w:p w:rsidR="008904E2" w:rsidRDefault="008904E2" w:rsidP="00454232">
            <w:pPr>
              <w:spacing w:after="0" w:line="240" w:lineRule="auto"/>
              <w:ind w:left="144"/>
              <w:rPr>
                <w:rFonts w:ascii="Palatino Linotype" w:hAnsi="Palatino Linotype"/>
                <w:b/>
                <w:sz w:val="20"/>
                <w:szCs w:val="20"/>
                <w:u w:val="single"/>
              </w:rPr>
            </w:pPr>
            <w:bookmarkStart w:id="6" w:name="DPAAM"/>
            <w:r w:rsidRPr="008904E2">
              <w:rPr>
                <w:rFonts w:ascii="Palatino Linotype" w:hAnsi="Palatino Linotype"/>
                <w:b/>
                <w:sz w:val="20"/>
                <w:szCs w:val="20"/>
                <w:u w:val="single"/>
              </w:rPr>
              <w:t>Diet and Physical Activity Assessment Methodology</w:t>
            </w:r>
          </w:p>
          <w:bookmarkEnd w:id="6"/>
          <w:p w:rsidR="008904E2" w:rsidRDefault="008904E2" w:rsidP="00454232">
            <w:pPr>
              <w:spacing w:after="0"/>
              <w:ind w:left="144"/>
              <w:rPr>
                <w:rFonts w:ascii="Palatino Linotype" w:hAnsi="Palatino Linotype"/>
                <w:b/>
                <w:i/>
                <w:sz w:val="20"/>
                <w:szCs w:val="20"/>
              </w:rPr>
            </w:pPr>
            <w:r w:rsidRPr="008904E2">
              <w:rPr>
                <w:rFonts w:ascii="Palatino Linotype" w:hAnsi="Palatino Linotype"/>
                <w:b/>
                <w:i/>
                <w:sz w:val="20"/>
                <w:szCs w:val="20"/>
              </w:rPr>
              <w:t>National Institutes of Health (NIH)</w:t>
            </w:r>
          </w:p>
          <w:p w:rsidR="00D713A4" w:rsidRDefault="008904E2" w:rsidP="008904E2">
            <w:pPr>
              <w:spacing w:after="0"/>
              <w:ind w:left="144"/>
              <w:rPr>
                <w:rFonts w:ascii="Palatino Linotype" w:eastAsia="Times New Roman" w:hAnsi="Palatino Linotype"/>
                <w:sz w:val="20"/>
                <w:szCs w:val="20"/>
                <w:shd w:val="clear" w:color="auto" w:fill="FFFFFF"/>
              </w:rPr>
            </w:pPr>
            <w:r w:rsidRPr="008904E2">
              <w:rPr>
                <w:rFonts w:ascii="Palatino Linotype" w:eastAsia="Times New Roman" w:hAnsi="Palatino Linotype"/>
                <w:sz w:val="20"/>
                <w:szCs w:val="20"/>
                <w:shd w:val="clear" w:color="auto" w:fill="FFFFFF"/>
              </w:rPr>
              <w:t xml:space="preserve">This program supports research to enhance the quality of measurements of dietary intake and physical activity. Interests include: novel assessment </w:t>
            </w:r>
            <w:r w:rsidRPr="008904E2">
              <w:rPr>
                <w:rFonts w:ascii="Palatino Linotype" w:eastAsia="Times New Roman" w:hAnsi="Palatino Linotype"/>
                <w:sz w:val="20"/>
                <w:szCs w:val="20"/>
                <w:shd w:val="clear" w:color="auto" w:fill="FFFFFF"/>
              </w:rPr>
              <w:lastRenderedPageBreak/>
              <w:t>approaches; better methods to evaluate instruments; assessment tools for culturally diverse populations or various age groups; improved technology or applications of existing technology; or integrated measurement of diet and physical activity along with the environmental c</w:t>
            </w:r>
            <w:r>
              <w:rPr>
                <w:rFonts w:ascii="Palatino Linotype" w:eastAsia="Times New Roman" w:hAnsi="Palatino Linotype"/>
                <w:sz w:val="20"/>
                <w:szCs w:val="20"/>
                <w:shd w:val="clear" w:color="auto" w:fill="FFFFFF"/>
              </w:rPr>
              <w:t xml:space="preserve">ontext of such behaviors. </w:t>
            </w:r>
            <w:r w:rsidRPr="008904E2">
              <w:rPr>
                <w:rFonts w:ascii="Palatino Linotype" w:eastAsia="Times New Roman" w:hAnsi="Palatino Linotype"/>
                <w:sz w:val="20"/>
                <w:szCs w:val="20"/>
                <w:shd w:val="clear" w:color="auto" w:fill="FFFFFF"/>
              </w:rPr>
              <w:t xml:space="preserve">The next deadline for proposals is February 05, 2019. For more information visit </w:t>
            </w:r>
            <w:hyperlink r:id="rId33" w:history="1">
              <w:r w:rsidRPr="008904E2">
                <w:rPr>
                  <w:rStyle w:val="Hyperlink"/>
                  <w:rFonts w:ascii="Palatino Linotype" w:eastAsia="Times New Roman" w:hAnsi="Palatino Linotype"/>
                  <w:sz w:val="20"/>
                  <w:szCs w:val="20"/>
                  <w:shd w:val="clear" w:color="auto" w:fill="FFFFFF"/>
                </w:rPr>
                <w:t>nih.gov</w:t>
              </w:r>
            </w:hyperlink>
            <w:r w:rsidRPr="008904E2">
              <w:rPr>
                <w:rFonts w:ascii="Palatino Linotype" w:eastAsia="Times New Roman" w:hAnsi="Palatino Linotype"/>
                <w:sz w:val="20"/>
                <w:szCs w:val="20"/>
                <w:shd w:val="clear" w:color="auto" w:fill="FFFFFF"/>
              </w:rPr>
              <w:t>.</w:t>
            </w:r>
          </w:p>
          <w:p w:rsidR="008904E2" w:rsidRPr="008904E2" w:rsidRDefault="008904E2" w:rsidP="008904E2">
            <w:pPr>
              <w:spacing w:after="0"/>
              <w:ind w:left="144"/>
              <w:rPr>
                <w:rFonts w:ascii="Palatino Linotype" w:eastAsia="Times New Roman" w:hAnsi="Palatino Linotype"/>
                <w:sz w:val="20"/>
                <w:szCs w:val="20"/>
                <w:shd w:val="clear" w:color="auto" w:fill="FFFFFF"/>
              </w:rPr>
            </w:pPr>
          </w:p>
          <w:p w:rsidR="008A6565" w:rsidRPr="00D713A4" w:rsidRDefault="008A6565" w:rsidP="008A6565">
            <w:pPr>
              <w:spacing w:after="0"/>
              <w:ind w:left="144"/>
              <w:rPr>
                <w:rFonts w:ascii="Palatino Linotype" w:hAnsi="Palatino Linotype"/>
                <w:b/>
                <w:sz w:val="20"/>
                <w:szCs w:val="20"/>
                <w:u w:val="single"/>
              </w:rPr>
            </w:pPr>
            <w:bookmarkStart w:id="7" w:name="DEB"/>
            <w:r>
              <w:rPr>
                <w:rFonts w:ascii="Palatino Linotype" w:hAnsi="Palatino Linotype"/>
                <w:b/>
                <w:sz w:val="20"/>
                <w:szCs w:val="20"/>
                <w:u w:val="single"/>
              </w:rPr>
              <w:t>Division of Environmental Biology (DEB)</w:t>
            </w:r>
          </w:p>
          <w:bookmarkEnd w:id="7"/>
          <w:p w:rsidR="008A6565" w:rsidRPr="009B580C" w:rsidRDefault="008A6565" w:rsidP="008A6565">
            <w:pPr>
              <w:spacing w:after="0"/>
              <w:ind w:left="144"/>
              <w:rPr>
                <w:rFonts w:ascii="Palatino Linotype" w:hAnsi="Palatino Linotype"/>
                <w:b/>
                <w:i/>
                <w:sz w:val="20"/>
                <w:szCs w:val="20"/>
              </w:rPr>
            </w:pPr>
            <w:r>
              <w:rPr>
                <w:rFonts w:ascii="Palatino Linotype" w:hAnsi="Palatino Linotype"/>
                <w:b/>
                <w:i/>
                <w:sz w:val="20"/>
                <w:szCs w:val="20"/>
              </w:rPr>
              <w:t>National Science Foundation (NSF)</w:t>
            </w:r>
          </w:p>
          <w:p w:rsidR="008A6565" w:rsidRDefault="008A6565" w:rsidP="008A6565">
            <w:pPr>
              <w:spacing w:after="0"/>
              <w:ind w:left="144"/>
              <w:rPr>
                <w:rStyle w:val="Hyperlink"/>
                <w:rFonts w:ascii="Palatino Linotype" w:hAnsi="Palatino Linotype"/>
                <w:sz w:val="20"/>
                <w:szCs w:val="20"/>
              </w:rPr>
            </w:pPr>
            <w:r w:rsidRPr="008A43DF">
              <w:rPr>
                <w:rFonts w:ascii="Palatino Linotype" w:hAnsi="Palatino Linotype"/>
                <w:sz w:val="20"/>
                <w:szCs w:val="20"/>
              </w:rPr>
              <w:t>The Division of Environmental Biology (DEB) supports fundamental research on populations, species, communities, and ecosystems. Scientific emphases range across many evolutionary and ecological patterns and processes at all spatial and temporal scales. Areas of research include biodiversity, phylogenetic systematics, molecular evolution, life history evolution, natural selection, ecology, biogeography, ecosystem structure, function and services, conservation biology, global change, and biogeochemical cycles.</w:t>
            </w:r>
            <w:r>
              <w:rPr>
                <w:rFonts w:ascii="Palatino Linotype" w:hAnsi="Palatino Linotype"/>
                <w:sz w:val="20"/>
                <w:szCs w:val="20"/>
              </w:rPr>
              <w:t xml:space="preserve"> Full proposals are accepted anytime. For more information please visit </w:t>
            </w:r>
            <w:hyperlink r:id="rId34" w:history="1">
              <w:r w:rsidRPr="008A43DF">
                <w:rPr>
                  <w:rStyle w:val="Hyperlink"/>
                  <w:rFonts w:ascii="Palatino Linotype" w:hAnsi="Palatino Linotype"/>
                  <w:sz w:val="20"/>
                  <w:szCs w:val="20"/>
                </w:rPr>
                <w:t>nsf.gov.</w:t>
              </w:r>
            </w:hyperlink>
          </w:p>
          <w:p w:rsidR="007C4D71" w:rsidRPr="00E06FE4" w:rsidRDefault="007C4D71" w:rsidP="00454232">
            <w:pPr>
              <w:spacing w:after="0"/>
              <w:rPr>
                <w:rStyle w:val="more"/>
                <w:rFonts w:ascii="Palatino Linotype" w:hAnsi="Palatino Linotype" w:cs="Arial"/>
                <w:color w:val="000000" w:themeColor="text1"/>
                <w:sz w:val="20"/>
                <w:szCs w:val="20"/>
              </w:rPr>
            </w:pPr>
          </w:p>
          <w:p w:rsidR="008A6565" w:rsidRPr="002E2D6F" w:rsidRDefault="008A6565" w:rsidP="008A6565">
            <w:pPr>
              <w:spacing w:after="0"/>
              <w:ind w:left="144"/>
              <w:rPr>
                <w:rFonts w:ascii="Palatino Linotype" w:hAnsi="Palatino Linotype"/>
                <w:b/>
                <w:sz w:val="20"/>
                <w:szCs w:val="20"/>
                <w:u w:val="single"/>
              </w:rPr>
            </w:pPr>
            <w:bookmarkStart w:id="8" w:name="LTREB"/>
            <w:r>
              <w:rPr>
                <w:rFonts w:ascii="Palatino Linotype" w:hAnsi="Palatino Linotype"/>
                <w:b/>
                <w:sz w:val="20"/>
                <w:szCs w:val="20"/>
                <w:u w:val="single"/>
              </w:rPr>
              <w:t>Long Term Research in Environmental Biology (LTREB)</w:t>
            </w:r>
          </w:p>
          <w:bookmarkEnd w:id="8"/>
          <w:p w:rsidR="008A6565" w:rsidRPr="00E06FE4" w:rsidRDefault="008A6565" w:rsidP="008A6565">
            <w:pPr>
              <w:shd w:val="clear" w:color="auto" w:fill="FFFFFF"/>
              <w:spacing w:after="0" w:line="240" w:lineRule="auto"/>
              <w:ind w:left="144"/>
              <w:rPr>
                <w:rFonts w:ascii="Palatino Linotype" w:hAnsi="Palatino Linotype"/>
                <w:b/>
                <w:i/>
                <w:sz w:val="20"/>
                <w:szCs w:val="20"/>
              </w:rPr>
            </w:pPr>
            <w:r>
              <w:rPr>
                <w:rFonts w:ascii="Palatino Linotype" w:hAnsi="Palatino Linotype"/>
                <w:b/>
                <w:i/>
                <w:sz w:val="20"/>
                <w:szCs w:val="20"/>
              </w:rPr>
              <w:t>National Science Foundation (NSF)</w:t>
            </w:r>
          </w:p>
          <w:p w:rsidR="008A6565" w:rsidRDefault="008A6565" w:rsidP="008A6565">
            <w:pPr>
              <w:spacing w:after="0"/>
              <w:ind w:left="144"/>
              <w:rPr>
                <w:rFonts w:ascii="Palatino Linotype" w:hAnsi="Palatino Linotype"/>
                <w:sz w:val="20"/>
                <w:szCs w:val="20"/>
              </w:rPr>
            </w:pPr>
            <w:r w:rsidRPr="00377B23">
              <w:rPr>
                <w:rFonts w:ascii="Palatino Linotype" w:hAnsi="Palatino Linotype"/>
                <w:sz w:val="20"/>
                <w:szCs w:val="20"/>
              </w:rPr>
              <w:t>This program supports the generation of extended time series of biological and environmental data that address ecological and evolutionary processes. Researchers must have collected at least six years of previous data and must present a cohesive conceptual rationale or framework for 10 years. Questions or hypotheses outlined in this conceptual framework must guide an initial five-year proposal and subsequent renewal.</w:t>
            </w:r>
            <w:r>
              <w:rPr>
                <w:rFonts w:ascii="Palatino Linotype" w:hAnsi="Palatino Linotype"/>
                <w:sz w:val="20"/>
                <w:szCs w:val="20"/>
              </w:rPr>
              <w:br/>
              <w:t>Full proposals are accepted anytime</w:t>
            </w:r>
            <w:r w:rsidRPr="007C4D71">
              <w:rPr>
                <w:rFonts w:ascii="Palatino Linotype" w:hAnsi="Palatino Linotype"/>
                <w:sz w:val="20"/>
                <w:szCs w:val="20"/>
              </w:rPr>
              <w:t xml:space="preserve">. For more information please visit </w:t>
            </w:r>
            <w:hyperlink r:id="rId35" w:history="1">
              <w:r w:rsidRPr="00377B23">
                <w:rPr>
                  <w:rStyle w:val="Hyperlink"/>
                  <w:rFonts w:ascii="Palatino Linotype" w:hAnsi="Palatino Linotype"/>
                  <w:sz w:val="20"/>
                  <w:szCs w:val="20"/>
                </w:rPr>
                <w:t>nsf.gov.</w:t>
              </w:r>
            </w:hyperlink>
            <w:r w:rsidRPr="007C4D71">
              <w:rPr>
                <w:rFonts w:ascii="Palatino Linotype" w:hAnsi="Palatino Linotype"/>
                <w:sz w:val="20"/>
                <w:szCs w:val="20"/>
              </w:rPr>
              <w:t xml:space="preserve"> </w:t>
            </w:r>
          </w:p>
          <w:p w:rsidR="00BF0FFE" w:rsidRDefault="00BF0FFE" w:rsidP="008A6565">
            <w:pPr>
              <w:spacing w:after="0"/>
              <w:ind w:left="144"/>
              <w:rPr>
                <w:rFonts w:ascii="Palatino Linotype" w:hAnsi="Palatino Linotype"/>
                <w:sz w:val="20"/>
                <w:szCs w:val="20"/>
              </w:rPr>
            </w:pPr>
          </w:p>
          <w:p w:rsidR="000F01FF" w:rsidRPr="000F01FF" w:rsidRDefault="000F01FF" w:rsidP="000F01FF">
            <w:pPr>
              <w:spacing w:after="0"/>
              <w:ind w:left="144"/>
              <w:rPr>
                <w:rFonts w:ascii="Palatino Linotype" w:hAnsi="Palatino Linotype"/>
                <w:b/>
                <w:sz w:val="20"/>
                <w:szCs w:val="20"/>
                <w:u w:val="single"/>
              </w:rPr>
            </w:pPr>
            <w:bookmarkStart w:id="9" w:name="CC"/>
            <w:r w:rsidRPr="000F01FF">
              <w:rPr>
                <w:rFonts w:ascii="Palatino Linotype" w:hAnsi="Palatino Linotype"/>
                <w:b/>
                <w:sz w:val="20"/>
                <w:szCs w:val="20"/>
                <w:u w:val="single"/>
              </w:rPr>
              <w:t>Campus Cyberinfrastructure</w:t>
            </w:r>
          </w:p>
          <w:bookmarkEnd w:id="9"/>
          <w:p w:rsidR="000F01FF" w:rsidRPr="000F01FF" w:rsidRDefault="000F01FF" w:rsidP="000F01FF">
            <w:pPr>
              <w:spacing w:after="0"/>
              <w:ind w:left="144"/>
              <w:rPr>
                <w:rFonts w:ascii="Palatino Linotype" w:hAnsi="Palatino Linotype"/>
                <w:b/>
                <w:i/>
                <w:sz w:val="20"/>
                <w:szCs w:val="20"/>
              </w:rPr>
            </w:pPr>
            <w:r w:rsidRPr="000F01FF">
              <w:rPr>
                <w:rFonts w:ascii="Palatino Linotype" w:hAnsi="Palatino Linotype"/>
                <w:b/>
                <w:i/>
                <w:sz w:val="20"/>
                <w:szCs w:val="20"/>
              </w:rPr>
              <w:t>National Science Foundation (NSF)</w:t>
            </w:r>
          </w:p>
          <w:p w:rsidR="000F01FF" w:rsidRDefault="000F01FF" w:rsidP="000F01FF">
            <w:pPr>
              <w:spacing w:after="0"/>
              <w:ind w:left="144"/>
              <w:rPr>
                <w:rFonts w:ascii="Palatino Linotype" w:hAnsi="Palatino Linotype"/>
                <w:sz w:val="20"/>
                <w:szCs w:val="20"/>
              </w:rPr>
            </w:pPr>
            <w:r w:rsidRPr="000F01FF">
              <w:rPr>
                <w:rFonts w:ascii="Palatino Linotype" w:hAnsi="Palatino Linotype"/>
                <w:sz w:val="20"/>
                <w:szCs w:val="20"/>
              </w:rPr>
              <w:t xml:space="preserve">The Campus Cyberinfrastructure (CC*) program invests in coordinated campus-level networking and cyberinfrastructure improvements, innovation, integration, and engineering for science applications and distributed research projects. Learning and workforce development (LWD) in cyberinfrastructure is explicitly addressed in the program. Science-driven requirements are the primary motivation for any proposed activity. Proposals are due February 20, 2019. For more information visit </w:t>
            </w:r>
            <w:hyperlink r:id="rId36" w:history="1">
              <w:r w:rsidRPr="000F01FF">
                <w:rPr>
                  <w:rStyle w:val="Hyperlink"/>
                  <w:rFonts w:ascii="Palatino Linotype" w:hAnsi="Palatino Linotype"/>
                  <w:sz w:val="20"/>
                  <w:szCs w:val="20"/>
                </w:rPr>
                <w:t>nsf.gov</w:t>
              </w:r>
            </w:hyperlink>
            <w:r w:rsidRPr="000F01FF">
              <w:rPr>
                <w:rFonts w:ascii="Palatino Linotype" w:hAnsi="Palatino Linotype"/>
                <w:sz w:val="20"/>
                <w:szCs w:val="20"/>
              </w:rPr>
              <w:t>.</w:t>
            </w:r>
          </w:p>
          <w:p w:rsidR="008925D2" w:rsidRDefault="008925D2" w:rsidP="000F01FF">
            <w:pPr>
              <w:spacing w:after="0"/>
              <w:ind w:left="144"/>
              <w:rPr>
                <w:rFonts w:ascii="Palatino Linotype" w:hAnsi="Palatino Linotype"/>
                <w:sz w:val="20"/>
                <w:szCs w:val="20"/>
              </w:rPr>
            </w:pPr>
          </w:p>
          <w:p w:rsidR="008925D2" w:rsidRDefault="008925D2" w:rsidP="000F01FF">
            <w:pPr>
              <w:spacing w:after="0"/>
              <w:ind w:left="144"/>
              <w:rPr>
                <w:rFonts w:ascii="Palatino Linotype" w:hAnsi="Palatino Linotype"/>
                <w:b/>
                <w:sz w:val="20"/>
                <w:szCs w:val="20"/>
                <w:u w:val="single"/>
              </w:rPr>
            </w:pPr>
            <w:bookmarkStart w:id="10" w:name="GP"/>
            <w:r>
              <w:rPr>
                <w:rFonts w:ascii="Palatino Linotype" w:hAnsi="Palatino Linotype"/>
                <w:b/>
                <w:sz w:val="20"/>
                <w:szCs w:val="20"/>
                <w:u w:val="single"/>
              </w:rPr>
              <w:t>Grants Program</w:t>
            </w:r>
          </w:p>
          <w:bookmarkEnd w:id="10"/>
          <w:p w:rsidR="008925D2" w:rsidRDefault="008925D2" w:rsidP="000F01FF">
            <w:pPr>
              <w:spacing w:after="0"/>
              <w:ind w:left="144"/>
              <w:rPr>
                <w:rFonts w:ascii="Palatino Linotype" w:hAnsi="Palatino Linotype"/>
                <w:b/>
                <w:i/>
                <w:sz w:val="20"/>
                <w:szCs w:val="20"/>
              </w:rPr>
            </w:pPr>
            <w:r>
              <w:rPr>
                <w:rFonts w:ascii="Palatino Linotype" w:hAnsi="Palatino Linotype"/>
                <w:b/>
                <w:i/>
                <w:sz w:val="20"/>
                <w:szCs w:val="20"/>
              </w:rPr>
              <w:t>Sloan Foundation</w:t>
            </w:r>
          </w:p>
          <w:p w:rsidR="008925D2" w:rsidRPr="008925D2" w:rsidRDefault="008925D2" w:rsidP="000F01FF">
            <w:pPr>
              <w:spacing w:after="0"/>
              <w:ind w:left="144"/>
              <w:rPr>
                <w:rFonts w:ascii="Palatino Linotype" w:hAnsi="Palatino Linotype"/>
                <w:sz w:val="20"/>
                <w:szCs w:val="20"/>
              </w:rPr>
            </w:pPr>
            <w:r w:rsidRPr="008925D2">
              <w:rPr>
                <w:rFonts w:ascii="Palatino Linotype" w:hAnsi="Palatino Linotype"/>
                <w:sz w:val="20"/>
                <w:szCs w:val="20"/>
              </w:rPr>
              <w:t xml:space="preserve">The foundation makes grants across various topics such as STEM, economics, higher education, digital technology, public understanding of science, technology &amp; economics, working longer, and energy and environment. Award types and </w:t>
            </w:r>
            <w:r w:rsidRPr="008925D2">
              <w:rPr>
                <w:rFonts w:ascii="Palatino Linotype" w:hAnsi="Palatino Linotype"/>
                <w:sz w:val="20"/>
                <w:szCs w:val="20"/>
              </w:rPr>
              <w:lastRenderedPageBreak/>
              <w:t xml:space="preserve">funding amounts vary. </w:t>
            </w:r>
            <w:r>
              <w:rPr>
                <w:rFonts w:ascii="Palatino Linotype" w:hAnsi="Palatino Linotype"/>
                <w:sz w:val="20"/>
                <w:szCs w:val="20"/>
              </w:rPr>
              <w:t>Letters of Inquiry are</w:t>
            </w:r>
            <w:r w:rsidRPr="008925D2">
              <w:rPr>
                <w:rFonts w:ascii="Palatino Linotype" w:hAnsi="Palatino Linotype"/>
                <w:sz w:val="20"/>
                <w:szCs w:val="20"/>
              </w:rPr>
              <w:t xml:space="preserve"> accepted at any time.</w:t>
            </w:r>
            <w:r>
              <w:rPr>
                <w:rFonts w:ascii="Palatino Linotype" w:hAnsi="Palatino Linotype"/>
                <w:sz w:val="20"/>
                <w:szCs w:val="20"/>
              </w:rPr>
              <w:t xml:space="preserve"> For more information visit </w:t>
            </w:r>
            <w:hyperlink r:id="rId37" w:anchor="tab-the-grant-application-process" w:history="1">
              <w:r w:rsidRPr="008925D2">
                <w:rPr>
                  <w:rStyle w:val="Hyperlink"/>
                  <w:rFonts w:ascii="Palatino Linotype" w:hAnsi="Palatino Linotype"/>
                  <w:sz w:val="20"/>
                  <w:szCs w:val="20"/>
                </w:rPr>
                <w:t>sloan.org.</w:t>
              </w:r>
            </w:hyperlink>
            <w:r>
              <w:rPr>
                <w:rFonts w:ascii="Palatino Linotype" w:hAnsi="Palatino Linotype"/>
                <w:sz w:val="20"/>
                <w:szCs w:val="20"/>
              </w:rPr>
              <w:t xml:space="preserve"> </w:t>
            </w:r>
          </w:p>
          <w:p w:rsidR="00BF0FFE" w:rsidRDefault="00BF0FFE" w:rsidP="008A6565">
            <w:pPr>
              <w:spacing w:after="0"/>
              <w:ind w:left="144"/>
              <w:rPr>
                <w:rFonts w:ascii="Palatino Linotype" w:hAnsi="Palatino Linotype"/>
                <w:sz w:val="20"/>
                <w:szCs w:val="20"/>
              </w:rPr>
            </w:pPr>
          </w:p>
          <w:p w:rsidR="0078682B" w:rsidRPr="0078682B" w:rsidRDefault="0078682B" w:rsidP="008A6565">
            <w:pPr>
              <w:spacing w:after="0"/>
              <w:ind w:left="144"/>
              <w:rPr>
                <w:rFonts w:ascii="Palatino Linotype" w:hAnsi="Palatino Linotype"/>
                <w:b/>
                <w:sz w:val="20"/>
                <w:szCs w:val="20"/>
                <w:u w:val="single"/>
              </w:rPr>
            </w:pPr>
            <w:bookmarkStart w:id="11" w:name="RGF"/>
            <w:r w:rsidRPr="0078682B">
              <w:rPr>
                <w:rFonts w:ascii="Palatino Linotype" w:hAnsi="Palatino Linotype"/>
                <w:b/>
                <w:sz w:val="20"/>
                <w:szCs w:val="20"/>
                <w:u w:val="single"/>
              </w:rPr>
              <w:t xml:space="preserve">Research Grants and Fellowships </w:t>
            </w:r>
          </w:p>
          <w:bookmarkEnd w:id="11"/>
          <w:p w:rsidR="0078682B" w:rsidRDefault="0078682B" w:rsidP="008A6565">
            <w:pPr>
              <w:spacing w:after="0"/>
              <w:ind w:left="144"/>
              <w:rPr>
                <w:rFonts w:ascii="Palatino Linotype" w:hAnsi="Palatino Linotype"/>
                <w:b/>
                <w:i/>
                <w:sz w:val="20"/>
                <w:szCs w:val="20"/>
              </w:rPr>
            </w:pPr>
            <w:r w:rsidRPr="0078682B">
              <w:rPr>
                <w:rFonts w:ascii="Palatino Linotype" w:hAnsi="Palatino Linotype"/>
                <w:b/>
                <w:i/>
                <w:sz w:val="20"/>
                <w:szCs w:val="20"/>
              </w:rPr>
              <w:t xml:space="preserve">American Historical Association </w:t>
            </w:r>
          </w:p>
          <w:p w:rsidR="0080784B" w:rsidRPr="00286D89" w:rsidRDefault="0078682B" w:rsidP="00286D89">
            <w:pPr>
              <w:spacing w:after="0"/>
              <w:ind w:left="144"/>
              <w:rPr>
                <w:rStyle w:val="Hyperlink"/>
                <w:rFonts w:ascii="Palatino Linotype" w:hAnsi="Palatino Linotype"/>
                <w:color w:val="auto"/>
                <w:sz w:val="20"/>
                <w:szCs w:val="20"/>
                <w:u w:val="none"/>
              </w:rPr>
            </w:pPr>
            <w:r w:rsidRPr="0078682B">
              <w:rPr>
                <w:rFonts w:ascii="Palatino Linotype" w:hAnsi="Palatino Linotype"/>
                <w:sz w:val="20"/>
                <w:szCs w:val="20"/>
              </w:rPr>
              <w:t>Supports several small research grants in the following areas: history of the Western hemisphere; colonial American history, with particular reference to the intercultural aspects of American and European relations; U.S. legal history and the field of law and society; and history of Europe, Asia, and Africa</w:t>
            </w:r>
            <w:r>
              <w:rPr>
                <w:rFonts w:ascii="Palatino Linotype" w:hAnsi="Palatino Linotype"/>
                <w:sz w:val="20"/>
                <w:szCs w:val="20"/>
              </w:rPr>
              <w:t xml:space="preserve">. Proposals are due February 15, 2019. For more information visit </w:t>
            </w:r>
            <w:hyperlink r:id="rId38" w:history="1">
              <w:r w:rsidRPr="0078682B">
                <w:rPr>
                  <w:rStyle w:val="Hyperlink"/>
                  <w:rFonts w:ascii="Palatino Linotype" w:hAnsi="Palatino Linotype"/>
                  <w:sz w:val="20"/>
                  <w:szCs w:val="20"/>
                </w:rPr>
                <w:t>historians.org.</w:t>
              </w:r>
            </w:hyperlink>
            <w:r>
              <w:rPr>
                <w:rFonts w:ascii="Palatino Linotype" w:hAnsi="Palatino Linotype"/>
                <w:sz w:val="20"/>
                <w:szCs w:val="20"/>
              </w:rPr>
              <w:t xml:space="preserve"> </w:t>
            </w:r>
          </w:p>
          <w:p w:rsidR="00DA13EB" w:rsidRPr="00661842" w:rsidRDefault="00DA13EB" w:rsidP="008A6565">
            <w:pPr>
              <w:spacing w:after="0" w:line="240" w:lineRule="auto"/>
              <w:ind w:left="144"/>
              <w:rPr>
                <w:rFonts w:ascii="Palatino Linotype" w:hAnsi="Palatino Linotype" w:cs="Arial"/>
                <w:color w:val="333333"/>
                <w:sz w:val="20"/>
                <w:szCs w:val="20"/>
              </w:rPr>
            </w:pPr>
          </w:p>
        </w:tc>
      </w:tr>
      <w:tr w:rsidR="00EA011A" w:rsidRPr="00752727" w:rsidTr="00A535B7">
        <w:tblPrEx>
          <w:tblBorders>
            <w:insideH w:val="none" w:sz="0" w:space="0" w:color="auto"/>
            <w:insideV w:val="none" w:sz="0" w:space="0" w:color="auto"/>
          </w:tblBorders>
          <w:tblCellMar>
            <w:left w:w="108" w:type="dxa"/>
            <w:right w:w="108" w:type="dxa"/>
          </w:tblCellMar>
        </w:tblPrEx>
        <w:trPr>
          <w:trHeight w:val="422"/>
        </w:trPr>
        <w:tc>
          <w:tcPr>
            <w:tcW w:w="10615" w:type="dxa"/>
            <w:gridSpan w:val="10"/>
            <w:tcBorders>
              <w:top w:val="single" w:sz="4" w:space="0" w:color="auto"/>
              <w:bottom w:val="nil"/>
            </w:tcBorders>
            <w:shd w:val="clear" w:color="auto" w:fill="FFD5AB"/>
          </w:tcPr>
          <w:p w:rsidR="00EA011A" w:rsidRPr="001A046E" w:rsidRDefault="00CA36BF" w:rsidP="00A535B7">
            <w:pPr>
              <w:spacing w:after="0" w:line="240" w:lineRule="auto"/>
              <w:jc w:val="center"/>
              <w:rPr>
                <w:rFonts w:ascii="Palatino Linotype" w:hAnsi="Palatino Linotype"/>
                <w:sz w:val="20"/>
                <w:szCs w:val="20"/>
              </w:rPr>
            </w:pPr>
            <w:bookmarkStart w:id="12" w:name="AP"/>
            <w:r>
              <w:rPr>
                <w:rFonts w:ascii="Palatino Linotype" w:hAnsi="Palatino Linotype" w:cs="Arial"/>
                <w:b/>
                <w:sz w:val="20"/>
                <w:szCs w:val="20"/>
                <w:u w:val="single"/>
                <w:bdr w:val="none" w:sz="0" w:space="0" w:color="auto" w:frame="1"/>
              </w:rPr>
              <w:lastRenderedPageBreak/>
              <w:t xml:space="preserve">October </w:t>
            </w:r>
            <w:r w:rsidR="00EA011A">
              <w:rPr>
                <w:rFonts w:ascii="Palatino Linotype" w:hAnsi="Palatino Linotype" w:cs="Arial"/>
                <w:b/>
                <w:sz w:val="20"/>
                <w:szCs w:val="20"/>
                <w:u w:val="single"/>
                <w:bdr w:val="none" w:sz="0" w:space="0" w:color="auto" w:frame="1"/>
              </w:rPr>
              <w:t xml:space="preserve">2018 </w:t>
            </w:r>
            <w:r w:rsidR="00EA011A" w:rsidRPr="005F0B23">
              <w:rPr>
                <w:rFonts w:ascii="Palatino Linotype" w:hAnsi="Palatino Linotype" w:cs="Arial"/>
                <w:b/>
                <w:sz w:val="20"/>
                <w:szCs w:val="20"/>
                <w:u w:val="single"/>
                <w:bdr w:val="none" w:sz="0" w:space="0" w:color="auto" w:frame="1"/>
              </w:rPr>
              <w:t>Proposals</w:t>
            </w:r>
            <w:bookmarkEnd w:id="12"/>
          </w:p>
        </w:tc>
      </w:tr>
      <w:tr w:rsidR="00EA011A" w:rsidRPr="00752727" w:rsidTr="00CA36BF">
        <w:tblPrEx>
          <w:tblBorders>
            <w:insideH w:val="none" w:sz="0" w:space="0" w:color="auto"/>
            <w:insideV w:val="none" w:sz="0" w:space="0" w:color="auto"/>
          </w:tblBorders>
          <w:tblCellMar>
            <w:left w:w="108" w:type="dxa"/>
            <w:right w:w="108" w:type="dxa"/>
          </w:tblCellMar>
        </w:tblPrEx>
        <w:trPr>
          <w:trHeight w:val="6048"/>
        </w:trPr>
        <w:tc>
          <w:tcPr>
            <w:tcW w:w="5125" w:type="dxa"/>
            <w:gridSpan w:val="5"/>
            <w:tcBorders>
              <w:top w:val="nil"/>
            </w:tcBorders>
            <w:shd w:val="clear" w:color="auto" w:fill="FFD5AB"/>
          </w:tcPr>
          <w:p w:rsidR="00CA36BF" w:rsidRPr="00E67E0A" w:rsidRDefault="00CA36BF" w:rsidP="00CA36BF">
            <w:pPr>
              <w:rPr>
                <w:rFonts w:ascii="Palatino Linotype" w:hAnsi="Palatino Linotype"/>
                <w:sz w:val="20"/>
                <w:szCs w:val="20"/>
              </w:rPr>
            </w:pPr>
            <w:r w:rsidRPr="00E67E0A">
              <w:rPr>
                <w:rFonts w:ascii="Palatino Linotype" w:hAnsi="Palatino Linotype"/>
                <w:b/>
                <w:sz w:val="20"/>
                <w:szCs w:val="20"/>
                <w:u w:val="single"/>
              </w:rPr>
              <w:t>Nicole Davi</w:t>
            </w:r>
            <w:r w:rsidRPr="00E67E0A">
              <w:rPr>
                <w:rFonts w:ascii="Palatino Linotype" w:hAnsi="Palatino Linotype"/>
                <w:b/>
                <w:sz w:val="20"/>
                <w:szCs w:val="20"/>
                <w:u w:val="single"/>
              </w:rPr>
              <w:br/>
            </w:r>
            <w:r w:rsidRPr="00E67E0A">
              <w:rPr>
                <w:rFonts w:ascii="Palatino Linotype" w:hAnsi="Palatino Linotype"/>
                <w:sz w:val="20"/>
                <w:szCs w:val="20"/>
              </w:rPr>
              <w:t>College of Science and Health</w:t>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b/>
                <w:i/>
                <w:sz w:val="20"/>
                <w:szCs w:val="20"/>
              </w:rPr>
              <w:t>National Science Foundation</w:t>
            </w:r>
            <w:r w:rsidRPr="00E67E0A">
              <w:rPr>
                <w:rFonts w:ascii="Palatino Linotype" w:hAnsi="Palatino Linotype"/>
                <w:sz w:val="20"/>
                <w:szCs w:val="20"/>
              </w:rPr>
              <w:tab/>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i/>
                <w:sz w:val="20"/>
                <w:szCs w:val="20"/>
              </w:rPr>
              <w:t>Collaborative Proposal: A Millennial Northwestern North American Treeline Blue Intensity Network based on Living and Subfossil Wood</w:t>
            </w:r>
            <w:r w:rsidRPr="00E67E0A">
              <w:rPr>
                <w:rFonts w:ascii="Palatino Linotype" w:hAnsi="Palatino Linotype"/>
                <w:sz w:val="20"/>
                <w:szCs w:val="20"/>
              </w:rPr>
              <w:t xml:space="preserve"> </w:t>
            </w:r>
            <w:r w:rsidRPr="00E67E0A">
              <w:rPr>
                <w:rFonts w:ascii="Palatino Linotype" w:hAnsi="Palatino Linotype"/>
                <w:sz w:val="20"/>
                <w:szCs w:val="20"/>
              </w:rPr>
              <w:tab/>
            </w:r>
            <w:r w:rsidRPr="00E67E0A">
              <w:rPr>
                <w:rFonts w:ascii="Palatino Linotype" w:hAnsi="Palatino Linotype"/>
                <w:sz w:val="20"/>
                <w:szCs w:val="20"/>
              </w:rPr>
              <w:br/>
              <w:t>$66,223</w:t>
            </w:r>
          </w:p>
          <w:p w:rsidR="00CA36BF" w:rsidRPr="00E67E0A" w:rsidRDefault="00CA36BF" w:rsidP="00CA36BF">
            <w:pPr>
              <w:rPr>
                <w:rFonts w:ascii="Palatino Linotype" w:hAnsi="Palatino Linotype"/>
                <w:sz w:val="20"/>
                <w:szCs w:val="20"/>
              </w:rPr>
            </w:pPr>
            <w:r w:rsidRPr="00E67E0A">
              <w:rPr>
                <w:rFonts w:ascii="Palatino Linotype" w:hAnsi="Palatino Linotype"/>
                <w:b/>
                <w:sz w:val="20"/>
                <w:szCs w:val="20"/>
                <w:u w:val="single"/>
              </w:rPr>
              <w:t>David Fuentes</w:t>
            </w:r>
            <w:r w:rsidRPr="00E67E0A">
              <w:rPr>
                <w:rFonts w:ascii="Palatino Linotype" w:hAnsi="Palatino Linotype"/>
                <w:sz w:val="20"/>
                <w:szCs w:val="20"/>
              </w:rPr>
              <w:br/>
              <w:t>College of Education</w:t>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b/>
                <w:i/>
                <w:sz w:val="20"/>
                <w:szCs w:val="20"/>
              </w:rPr>
              <w:t>NJ Department of Education</w:t>
            </w:r>
            <w:r w:rsidRPr="00E67E0A">
              <w:rPr>
                <w:rFonts w:ascii="Palatino Linotype" w:hAnsi="Palatino Linotype"/>
                <w:b/>
                <w:i/>
                <w:sz w:val="20"/>
                <w:szCs w:val="20"/>
              </w:rPr>
              <w:tab/>
            </w:r>
            <w:r w:rsidRPr="00E67E0A">
              <w:rPr>
                <w:rFonts w:ascii="Palatino Linotype" w:hAnsi="Palatino Linotype"/>
                <w:b/>
                <w:i/>
                <w:sz w:val="20"/>
                <w:szCs w:val="20"/>
              </w:rPr>
              <w:tab/>
            </w:r>
            <w:r w:rsidRPr="00E67E0A">
              <w:rPr>
                <w:rFonts w:ascii="Palatino Linotype" w:hAnsi="Palatino Linotype"/>
                <w:b/>
                <w:i/>
                <w:sz w:val="20"/>
                <w:szCs w:val="20"/>
              </w:rPr>
              <w:br/>
            </w:r>
            <w:r w:rsidRPr="00E67E0A">
              <w:rPr>
                <w:rFonts w:ascii="Palatino Linotype" w:hAnsi="Palatino Linotype"/>
                <w:i/>
                <w:sz w:val="20"/>
                <w:szCs w:val="20"/>
              </w:rPr>
              <w:t>Project RISE: Recruit, Invest (in), and Support Educators</w:t>
            </w:r>
            <w:r w:rsidRPr="00E67E0A">
              <w:rPr>
                <w:rFonts w:ascii="Palatino Linotype" w:hAnsi="Palatino Linotype"/>
                <w:sz w:val="20"/>
                <w:szCs w:val="20"/>
              </w:rPr>
              <w:tab/>
            </w:r>
            <w:r w:rsidRPr="00E67E0A">
              <w:rPr>
                <w:rFonts w:ascii="Palatino Linotype" w:hAnsi="Palatino Linotype"/>
                <w:sz w:val="20"/>
                <w:szCs w:val="20"/>
              </w:rPr>
              <w:br/>
              <w:t>$375,000</w:t>
            </w:r>
          </w:p>
          <w:p w:rsidR="00CA36BF" w:rsidRPr="008E6E61" w:rsidRDefault="00CA36BF" w:rsidP="00CA36BF">
            <w:pPr>
              <w:rPr>
                <w:rFonts w:ascii="Palatino Linotype" w:hAnsi="Palatino Linotype"/>
                <w:b/>
                <w:sz w:val="20"/>
                <w:szCs w:val="20"/>
              </w:rPr>
            </w:pPr>
            <w:r w:rsidRPr="00E67E0A">
              <w:rPr>
                <w:rFonts w:ascii="Palatino Linotype" w:hAnsi="Palatino Linotype"/>
                <w:b/>
                <w:sz w:val="20"/>
                <w:szCs w:val="20"/>
                <w:u w:val="single"/>
              </w:rPr>
              <w:t>William Kernan</w:t>
            </w:r>
            <w:r w:rsidRPr="00E67E0A">
              <w:rPr>
                <w:rFonts w:ascii="Palatino Linotype" w:hAnsi="Palatino Linotype"/>
                <w:b/>
                <w:sz w:val="20"/>
                <w:szCs w:val="20"/>
                <w:u w:val="single"/>
              </w:rPr>
              <w:br/>
            </w:r>
            <w:r w:rsidRPr="00E67E0A">
              <w:rPr>
                <w:rFonts w:ascii="Palatino Linotype" w:hAnsi="Palatino Linotype"/>
                <w:sz w:val="20"/>
                <w:szCs w:val="20"/>
              </w:rPr>
              <w:t>College of Science and Health</w:t>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b/>
                <w:i/>
                <w:sz w:val="20"/>
                <w:szCs w:val="20"/>
              </w:rPr>
              <w:t>NJ Division of Mental Health and Addiction Services</w:t>
            </w:r>
            <w:r w:rsidRPr="00E67E0A">
              <w:rPr>
                <w:rFonts w:ascii="Palatino Linotype" w:hAnsi="Palatino Linotype"/>
                <w:sz w:val="20"/>
                <w:szCs w:val="20"/>
              </w:rPr>
              <w:br/>
            </w:r>
            <w:r w:rsidRPr="00E67E0A">
              <w:rPr>
                <w:rFonts w:ascii="Palatino Linotype" w:hAnsi="Palatino Linotype"/>
                <w:i/>
                <w:sz w:val="20"/>
                <w:szCs w:val="20"/>
              </w:rPr>
              <w:t xml:space="preserve">Outreach and Community Education Regarding the Use of Opioid Pain Relievers for Sports- Related Injuries in Young Athletes (SPFx) (OOP-YA) Year </w:t>
            </w:r>
            <w:r>
              <w:rPr>
                <w:rFonts w:ascii="Palatino Linotype" w:hAnsi="Palatino Linotype"/>
                <w:i/>
                <w:sz w:val="20"/>
                <w:szCs w:val="20"/>
              </w:rPr>
              <w:t>2</w:t>
            </w:r>
            <w:r w:rsidRPr="00E67E0A">
              <w:rPr>
                <w:rFonts w:ascii="Palatino Linotype" w:hAnsi="Palatino Linotype"/>
                <w:i/>
                <w:sz w:val="20"/>
                <w:szCs w:val="20"/>
              </w:rPr>
              <w:tab/>
            </w:r>
            <w:r w:rsidRPr="00E67E0A">
              <w:rPr>
                <w:rFonts w:ascii="Palatino Linotype" w:hAnsi="Palatino Linotype"/>
                <w:sz w:val="20"/>
                <w:szCs w:val="20"/>
              </w:rPr>
              <w:br/>
              <w:t>$12,540</w:t>
            </w:r>
          </w:p>
        </w:tc>
        <w:tc>
          <w:tcPr>
            <w:tcW w:w="5490" w:type="dxa"/>
            <w:gridSpan w:val="5"/>
            <w:tcBorders>
              <w:top w:val="nil"/>
            </w:tcBorders>
            <w:shd w:val="clear" w:color="auto" w:fill="FFD5AB"/>
          </w:tcPr>
          <w:p w:rsidR="00CA36BF" w:rsidRDefault="00CA36BF" w:rsidP="00CA36BF">
            <w:pPr>
              <w:rPr>
                <w:rFonts w:ascii="Palatino Linotype" w:hAnsi="Palatino Linotype"/>
                <w:b/>
                <w:sz w:val="20"/>
                <w:szCs w:val="20"/>
                <w:u w:val="single"/>
              </w:rPr>
            </w:pPr>
            <w:r w:rsidRPr="00E67E0A">
              <w:rPr>
                <w:rFonts w:ascii="Palatino Linotype" w:hAnsi="Palatino Linotype"/>
                <w:b/>
                <w:sz w:val="20"/>
                <w:szCs w:val="20"/>
                <w:u w:val="single"/>
              </w:rPr>
              <w:t>Emmanuel Onaivi</w:t>
            </w:r>
            <w:r w:rsidRPr="00E67E0A">
              <w:rPr>
                <w:rFonts w:ascii="Palatino Linotype" w:hAnsi="Palatino Linotype"/>
                <w:b/>
                <w:sz w:val="20"/>
                <w:szCs w:val="20"/>
                <w:u w:val="single"/>
              </w:rPr>
              <w:br/>
            </w:r>
            <w:r w:rsidRPr="00E67E0A">
              <w:rPr>
                <w:rFonts w:ascii="Palatino Linotype" w:hAnsi="Palatino Linotype"/>
                <w:sz w:val="20"/>
                <w:szCs w:val="20"/>
              </w:rPr>
              <w:t>College of Science and Health</w:t>
            </w:r>
            <w:r w:rsidRPr="00E67E0A">
              <w:rPr>
                <w:rFonts w:ascii="Palatino Linotype" w:hAnsi="Palatino Linotype"/>
                <w:sz w:val="20"/>
                <w:szCs w:val="20"/>
              </w:rPr>
              <w:tab/>
            </w:r>
            <w:r w:rsidRPr="00E67E0A">
              <w:rPr>
                <w:rFonts w:ascii="Palatino Linotype" w:hAnsi="Palatino Linotype"/>
                <w:sz w:val="20"/>
                <w:szCs w:val="20"/>
              </w:rPr>
              <w:br/>
            </w:r>
            <w:r w:rsidR="0080784B">
              <w:rPr>
                <w:rFonts w:ascii="Palatino Linotype" w:hAnsi="Palatino Linotype"/>
                <w:b/>
                <w:i/>
                <w:sz w:val="20"/>
                <w:szCs w:val="20"/>
              </w:rPr>
              <w:t>National Institute</w:t>
            </w:r>
            <w:r w:rsidRPr="00E67E0A">
              <w:rPr>
                <w:rFonts w:ascii="Palatino Linotype" w:hAnsi="Palatino Linotype"/>
                <w:b/>
                <w:i/>
                <w:sz w:val="20"/>
                <w:szCs w:val="20"/>
              </w:rPr>
              <w:t xml:space="preserve"> of Health</w:t>
            </w:r>
            <w:r w:rsidRPr="00E67E0A">
              <w:rPr>
                <w:rFonts w:ascii="Palatino Linotype" w:hAnsi="Palatino Linotype"/>
                <w:b/>
                <w:i/>
                <w:sz w:val="20"/>
                <w:szCs w:val="20"/>
              </w:rPr>
              <w:tab/>
            </w:r>
            <w:r w:rsidRPr="00E67E0A">
              <w:rPr>
                <w:rFonts w:ascii="Palatino Linotype" w:hAnsi="Palatino Linotype"/>
                <w:b/>
                <w:i/>
                <w:sz w:val="20"/>
                <w:szCs w:val="20"/>
              </w:rPr>
              <w:tab/>
            </w:r>
            <w:r w:rsidRPr="00E67E0A">
              <w:rPr>
                <w:rFonts w:ascii="Palatino Linotype" w:hAnsi="Palatino Linotype"/>
                <w:b/>
                <w:i/>
                <w:sz w:val="20"/>
                <w:szCs w:val="20"/>
              </w:rPr>
              <w:br/>
            </w:r>
            <w:r w:rsidRPr="00E67E0A">
              <w:rPr>
                <w:rFonts w:ascii="Palatino Linotype" w:hAnsi="Palatino Linotype"/>
                <w:i/>
                <w:sz w:val="20"/>
                <w:szCs w:val="20"/>
              </w:rPr>
              <w:t>Neuroimmune behavorial effects of CB2 cannobinoid receptors</w:t>
            </w:r>
            <w:r w:rsidRPr="00E67E0A">
              <w:rPr>
                <w:rFonts w:ascii="Palatino Linotype" w:hAnsi="Palatino Linotype"/>
                <w:sz w:val="20"/>
                <w:szCs w:val="20"/>
              </w:rPr>
              <w:tab/>
            </w:r>
            <w:r w:rsidRPr="00E67E0A">
              <w:rPr>
                <w:rFonts w:ascii="Palatino Linotype" w:hAnsi="Palatino Linotype"/>
                <w:sz w:val="20"/>
                <w:szCs w:val="20"/>
              </w:rPr>
              <w:br/>
              <w:t>$411,321</w:t>
            </w:r>
          </w:p>
          <w:p w:rsidR="00CA36BF" w:rsidRPr="00E67E0A" w:rsidRDefault="00CA36BF" w:rsidP="00CA36BF">
            <w:pPr>
              <w:rPr>
                <w:rFonts w:ascii="Palatino Linotype" w:hAnsi="Palatino Linotype"/>
                <w:sz w:val="20"/>
                <w:szCs w:val="20"/>
              </w:rPr>
            </w:pPr>
            <w:r w:rsidRPr="00E67E0A">
              <w:rPr>
                <w:rFonts w:ascii="Palatino Linotype" w:hAnsi="Palatino Linotype"/>
                <w:b/>
                <w:sz w:val="20"/>
                <w:szCs w:val="20"/>
                <w:u w:val="single"/>
              </w:rPr>
              <w:t>Naa-Solo Tettey</w:t>
            </w:r>
            <w:r w:rsidRPr="00E67E0A">
              <w:rPr>
                <w:rFonts w:ascii="Palatino Linotype" w:hAnsi="Palatino Linotype"/>
                <w:sz w:val="20"/>
                <w:szCs w:val="20"/>
              </w:rPr>
              <w:br/>
              <w:t>College of Science and Health</w:t>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b/>
                <w:i/>
                <w:sz w:val="20"/>
                <w:szCs w:val="20"/>
              </w:rPr>
              <w:t>Columbia University</w:t>
            </w:r>
            <w:r w:rsidRPr="00E67E0A">
              <w:rPr>
                <w:rFonts w:ascii="Palatino Linotype" w:hAnsi="Palatino Linotype"/>
                <w:sz w:val="20"/>
                <w:szCs w:val="20"/>
              </w:rPr>
              <w:tab/>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i/>
                <w:sz w:val="20"/>
                <w:szCs w:val="20"/>
              </w:rPr>
              <w:t>Health Disparities and the Criminal Justice System</w:t>
            </w:r>
            <w:r w:rsidRPr="00E67E0A">
              <w:rPr>
                <w:rFonts w:ascii="Palatino Linotype" w:hAnsi="Palatino Linotype"/>
                <w:sz w:val="20"/>
                <w:szCs w:val="20"/>
              </w:rPr>
              <w:tab/>
            </w:r>
            <w:r w:rsidRPr="00E67E0A">
              <w:rPr>
                <w:rFonts w:ascii="Palatino Linotype" w:hAnsi="Palatino Linotype"/>
                <w:sz w:val="20"/>
                <w:szCs w:val="20"/>
              </w:rPr>
              <w:br/>
              <w:t>$5,000</w:t>
            </w:r>
          </w:p>
          <w:p w:rsidR="00CA36BF" w:rsidRPr="00E67E0A" w:rsidRDefault="00CA36BF" w:rsidP="00CA36BF">
            <w:pPr>
              <w:rPr>
                <w:rFonts w:ascii="Palatino Linotype" w:hAnsi="Palatino Linotype"/>
                <w:sz w:val="20"/>
                <w:szCs w:val="20"/>
              </w:rPr>
            </w:pPr>
            <w:r w:rsidRPr="00E67E0A">
              <w:rPr>
                <w:rFonts w:ascii="Palatino Linotype" w:hAnsi="Palatino Linotype"/>
                <w:b/>
                <w:sz w:val="20"/>
                <w:szCs w:val="20"/>
                <w:u w:val="single"/>
              </w:rPr>
              <w:t xml:space="preserve">Bernadette Tiernan </w:t>
            </w:r>
            <w:r w:rsidRPr="00E67E0A">
              <w:rPr>
                <w:rFonts w:ascii="Palatino Linotype" w:hAnsi="Palatino Linotype"/>
                <w:b/>
                <w:sz w:val="20"/>
                <w:szCs w:val="20"/>
                <w:u w:val="single"/>
              </w:rPr>
              <w:br/>
            </w:r>
            <w:r w:rsidRPr="00E67E0A">
              <w:rPr>
                <w:rFonts w:ascii="Palatino Linotype" w:hAnsi="Palatino Linotype"/>
                <w:sz w:val="20"/>
                <w:szCs w:val="20"/>
              </w:rPr>
              <w:t>Continuing and Professional Education</w:t>
            </w:r>
            <w:r w:rsidRPr="00E67E0A">
              <w:rPr>
                <w:rFonts w:ascii="Palatino Linotype" w:hAnsi="Palatino Linotype"/>
                <w:sz w:val="20"/>
                <w:szCs w:val="20"/>
              </w:rPr>
              <w:tab/>
            </w:r>
            <w:r>
              <w:rPr>
                <w:rFonts w:ascii="Palatino Linotype" w:hAnsi="Palatino Linotype"/>
                <w:sz w:val="20"/>
                <w:szCs w:val="20"/>
              </w:rPr>
              <w:br/>
            </w:r>
            <w:r w:rsidRPr="00E67E0A">
              <w:rPr>
                <w:rFonts w:ascii="Palatino Linotype" w:hAnsi="Palatino Linotype"/>
                <w:b/>
                <w:i/>
                <w:sz w:val="20"/>
                <w:szCs w:val="20"/>
              </w:rPr>
              <w:t>NJ Department of Labor &amp; Workforce Development</w:t>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i/>
                <w:sz w:val="20"/>
                <w:szCs w:val="20"/>
              </w:rPr>
              <w:t>Skills Partnership Grant FY2019 #91 Mental Healthcare Consortium</w:t>
            </w:r>
            <w:r w:rsidRPr="00E67E0A">
              <w:rPr>
                <w:rFonts w:ascii="Palatino Linotype" w:hAnsi="Palatino Linotype"/>
                <w:sz w:val="20"/>
                <w:szCs w:val="20"/>
              </w:rPr>
              <w:tab/>
            </w:r>
            <w:r w:rsidRPr="00E67E0A">
              <w:rPr>
                <w:rFonts w:ascii="Palatino Linotype" w:hAnsi="Palatino Linotype"/>
                <w:sz w:val="20"/>
                <w:szCs w:val="20"/>
              </w:rPr>
              <w:br/>
              <w:t>$248,560</w:t>
            </w:r>
          </w:p>
          <w:p w:rsidR="00EA011A" w:rsidRPr="00486F02" w:rsidRDefault="00CA36BF" w:rsidP="00CA36BF">
            <w:pPr>
              <w:rPr>
                <w:rFonts w:ascii="Palatino Linotype" w:hAnsi="Palatino Linotype"/>
                <w:sz w:val="20"/>
                <w:szCs w:val="20"/>
              </w:rPr>
            </w:pPr>
            <w:r w:rsidRPr="00E67E0A">
              <w:rPr>
                <w:rFonts w:ascii="Palatino Linotype" w:hAnsi="Palatino Linotype"/>
                <w:b/>
                <w:i/>
                <w:sz w:val="20"/>
                <w:szCs w:val="20"/>
              </w:rPr>
              <w:t>NJ Department of Labor &amp; Workforce Development</w:t>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i/>
                <w:sz w:val="20"/>
                <w:szCs w:val="20"/>
              </w:rPr>
              <w:t>Skills Partnership Grant FY2019 #92 Distribution Consortium</w:t>
            </w:r>
            <w:r w:rsidRPr="00E67E0A">
              <w:rPr>
                <w:rFonts w:ascii="Palatino Linotype" w:hAnsi="Palatino Linotype"/>
                <w:sz w:val="20"/>
                <w:szCs w:val="20"/>
              </w:rPr>
              <w:br/>
              <w:t>$247,600</w:t>
            </w:r>
            <w:r w:rsidRPr="00E67E0A">
              <w:rPr>
                <w:rFonts w:ascii="Palatino Linotype" w:hAnsi="Palatino Linotype"/>
                <w:sz w:val="20"/>
                <w:szCs w:val="20"/>
              </w:rPr>
              <w:tab/>
            </w:r>
            <w:r w:rsidRPr="00E67E0A">
              <w:rPr>
                <w:rFonts w:ascii="Palatino Linotype" w:hAnsi="Palatino Linotype"/>
                <w:sz w:val="20"/>
                <w:szCs w:val="20"/>
              </w:rPr>
              <w:tab/>
            </w:r>
            <w:r w:rsidRPr="00E67E0A">
              <w:rPr>
                <w:rFonts w:ascii="Palatino Linotype" w:hAnsi="Palatino Linotype"/>
                <w:sz w:val="20"/>
                <w:szCs w:val="20"/>
              </w:rPr>
              <w:tab/>
            </w:r>
            <w:r w:rsidRPr="00E67E0A">
              <w:rPr>
                <w:rFonts w:ascii="Palatino Linotype" w:hAnsi="Palatino Linotype"/>
                <w:sz w:val="20"/>
                <w:szCs w:val="20"/>
              </w:rPr>
              <w:tab/>
            </w:r>
          </w:p>
        </w:tc>
      </w:tr>
      <w:tr w:rsidR="008E6E61" w:rsidRPr="00752727" w:rsidTr="00A535B7">
        <w:tblPrEx>
          <w:tblBorders>
            <w:insideH w:val="none" w:sz="0" w:space="0" w:color="auto"/>
            <w:insideV w:val="none" w:sz="0" w:space="0" w:color="auto"/>
          </w:tblBorders>
          <w:tblCellMar>
            <w:left w:w="108" w:type="dxa"/>
            <w:right w:w="108" w:type="dxa"/>
          </w:tblCellMar>
        </w:tblPrEx>
        <w:trPr>
          <w:trHeight w:val="360"/>
        </w:trPr>
        <w:tc>
          <w:tcPr>
            <w:tcW w:w="10615" w:type="dxa"/>
            <w:gridSpan w:val="10"/>
            <w:tcBorders>
              <w:top w:val="nil"/>
            </w:tcBorders>
            <w:shd w:val="clear" w:color="auto" w:fill="FFD5AB"/>
            <w:vAlign w:val="center"/>
          </w:tcPr>
          <w:p w:rsidR="008E6E61" w:rsidRPr="00486F02" w:rsidRDefault="00CA36BF" w:rsidP="00A535B7">
            <w:pPr>
              <w:spacing w:after="0" w:line="240" w:lineRule="auto"/>
              <w:jc w:val="center"/>
              <w:rPr>
                <w:rFonts w:ascii="Palatino Linotype" w:hAnsi="Palatino Linotype"/>
                <w:sz w:val="20"/>
                <w:szCs w:val="20"/>
              </w:rPr>
            </w:pPr>
            <w:r>
              <w:rPr>
                <w:rFonts w:ascii="Palatino Linotype" w:hAnsi="Palatino Linotype" w:cs="Arial"/>
                <w:b/>
                <w:sz w:val="20"/>
                <w:szCs w:val="20"/>
                <w:u w:val="single"/>
                <w:bdr w:val="none" w:sz="0" w:space="0" w:color="auto" w:frame="1"/>
              </w:rPr>
              <w:t xml:space="preserve">October </w:t>
            </w:r>
            <w:r w:rsidR="008E6E61">
              <w:rPr>
                <w:rFonts w:ascii="Palatino Linotype" w:hAnsi="Palatino Linotype" w:cs="Arial"/>
                <w:b/>
                <w:sz w:val="20"/>
                <w:szCs w:val="20"/>
                <w:u w:val="single"/>
                <w:bdr w:val="none" w:sz="0" w:space="0" w:color="auto" w:frame="1"/>
              </w:rPr>
              <w:t>2018 Awards</w:t>
            </w:r>
          </w:p>
        </w:tc>
      </w:tr>
      <w:tr w:rsidR="008E6E61" w:rsidRPr="00752727" w:rsidTr="00CA36BF">
        <w:tblPrEx>
          <w:tblBorders>
            <w:insideH w:val="none" w:sz="0" w:space="0" w:color="auto"/>
            <w:insideV w:val="none" w:sz="0" w:space="0" w:color="auto"/>
          </w:tblBorders>
          <w:tblCellMar>
            <w:left w:w="108" w:type="dxa"/>
            <w:right w:w="108" w:type="dxa"/>
          </w:tblCellMar>
        </w:tblPrEx>
        <w:trPr>
          <w:trHeight w:val="450"/>
        </w:trPr>
        <w:tc>
          <w:tcPr>
            <w:tcW w:w="5125" w:type="dxa"/>
            <w:gridSpan w:val="5"/>
            <w:tcBorders>
              <w:top w:val="nil"/>
            </w:tcBorders>
            <w:shd w:val="clear" w:color="auto" w:fill="FFD5AB"/>
          </w:tcPr>
          <w:p w:rsidR="00CA36BF" w:rsidRPr="00E67E0A" w:rsidRDefault="00CA36BF" w:rsidP="00CA36BF">
            <w:pPr>
              <w:rPr>
                <w:rFonts w:ascii="Palatino Linotype" w:hAnsi="Palatino Linotype"/>
                <w:sz w:val="20"/>
                <w:szCs w:val="20"/>
              </w:rPr>
            </w:pPr>
            <w:r w:rsidRPr="00E67E0A">
              <w:rPr>
                <w:rFonts w:ascii="Palatino Linotype" w:hAnsi="Palatino Linotype"/>
                <w:b/>
                <w:sz w:val="20"/>
                <w:szCs w:val="20"/>
                <w:u w:val="single"/>
              </w:rPr>
              <w:t>Bernadette Tiernan</w:t>
            </w:r>
            <w:r w:rsidRPr="00E67E0A">
              <w:rPr>
                <w:rFonts w:ascii="Palatino Linotype" w:hAnsi="Palatino Linotype"/>
                <w:b/>
                <w:sz w:val="20"/>
                <w:szCs w:val="20"/>
                <w:u w:val="single"/>
              </w:rPr>
              <w:br/>
            </w:r>
            <w:r w:rsidRPr="00E67E0A">
              <w:rPr>
                <w:rFonts w:ascii="Palatino Linotype" w:hAnsi="Palatino Linotype"/>
                <w:sz w:val="20"/>
                <w:szCs w:val="20"/>
              </w:rPr>
              <w:t>Continuing and Professional Education</w:t>
            </w:r>
            <w:r w:rsidRPr="00E67E0A">
              <w:rPr>
                <w:rFonts w:ascii="Palatino Linotype" w:hAnsi="Palatino Linotype"/>
                <w:sz w:val="20"/>
                <w:szCs w:val="20"/>
              </w:rPr>
              <w:tab/>
            </w:r>
            <w:r w:rsidRPr="00E67E0A">
              <w:rPr>
                <w:rFonts w:ascii="Palatino Linotype" w:hAnsi="Palatino Linotype"/>
                <w:sz w:val="20"/>
                <w:szCs w:val="20"/>
              </w:rPr>
              <w:br/>
            </w:r>
            <w:r w:rsidRPr="00E67E0A">
              <w:rPr>
                <w:rFonts w:ascii="Palatino Linotype" w:hAnsi="Palatino Linotype"/>
                <w:b/>
                <w:i/>
                <w:sz w:val="20"/>
                <w:szCs w:val="20"/>
              </w:rPr>
              <w:t>NJ Department of</w:t>
            </w:r>
            <w:r>
              <w:rPr>
                <w:rFonts w:ascii="Palatino Linotype" w:hAnsi="Palatino Linotype"/>
                <w:b/>
                <w:i/>
                <w:sz w:val="20"/>
                <w:szCs w:val="20"/>
              </w:rPr>
              <w:t xml:space="preserve"> Labor &amp; Workforce Development</w:t>
            </w:r>
            <w:r w:rsidR="00DB67C5">
              <w:rPr>
                <w:rFonts w:ascii="Palatino Linotype" w:hAnsi="Palatino Linotype"/>
                <w:b/>
                <w:i/>
                <w:sz w:val="20"/>
                <w:szCs w:val="20"/>
              </w:rPr>
              <w:br/>
            </w:r>
            <w:r w:rsidRPr="00E67E0A">
              <w:rPr>
                <w:rFonts w:ascii="Palatino Linotype" w:hAnsi="Palatino Linotype"/>
                <w:i/>
                <w:sz w:val="20"/>
                <w:szCs w:val="20"/>
              </w:rPr>
              <w:t>Skills Partnership Grant FY2019 #36 Construction Consortium</w:t>
            </w:r>
            <w:r w:rsidRPr="00E67E0A">
              <w:rPr>
                <w:rFonts w:ascii="Palatino Linotype" w:hAnsi="Palatino Linotype"/>
                <w:i/>
                <w:sz w:val="20"/>
                <w:szCs w:val="20"/>
              </w:rPr>
              <w:tab/>
            </w:r>
            <w:r w:rsidRPr="00E67E0A">
              <w:rPr>
                <w:rFonts w:ascii="Palatino Linotype" w:hAnsi="Palatino Linotype"/>
                <w:i/>
                <w:sz w:val="20"/>
                <w:szCs w:val="20"/>
              </w:rPr>
              <w:br/>
            </w:r>
            <w:r w:rsidRPr="00E67E0A">
              <w:rPr>
                <w:rFonts w:ascii="Palatino Linotype" w:hAnsi="Palatino Linotype"/>
                <w:sz w:val="20"/>
                <w:szCs w:val="20"/>
              </w:rPr>
              <w:t>$88,448</w:t>
            </w:r>
          </w:p>
          <w:p w:rsidR="00CA36BF" w:rsidRPr="00E67E0A" w:rsidRDefault="00CA36BF" w:rsidP="00CA36BF">
            <w:pPr>
              <w:rPr>
                <w:rFonts w:ascii="Palatino Linotype" w:hAnsi="Palatino Linotype"/>
                <w:sz w:val="20"/>
                <w:szCs w:val="20"/>
              </w:rPr>
            </w:pPr>
            <w:r w:rsidRPr="00E67E0A">
              <w:rPr>
                <w:rFonts w:ascii="Palatino Linotype" w:hAnsi="Palatino Linotype"/>
                <w:b/>
                <w:i/>
                <w:sz w:val="20"/>
                <w:szCs w:val="20"/>
              </w:rPr>
              <w:t>NJ Department of</w:t>
            </w:r>
            <w:r>
              <w:rPr>
                <w:rFonts w:ascii="Palatino Linotype" w:hAnsi="Palatino Linotype"/>
                <w:b/>
                <w:i/>
                <w:sz w:val="20"/>
                <w:szCs w:val="20"/>
              </w:rPr>
              <w:t xml:space="preserve"> Labor &amp; Workforce Development</w:t>
            </w:r>
            <w:r w:rsidR="00DB67C5">
              <w:rPr>
                <w:rFonts w:ascii="Palatino Linotype" w:hAnsi="Palatino Linotype"/>
                <w:b/>
                <w:i/>
                <w:sz w:val="20"/>
                <w:szCs w:val="20"/>
              </w:rPr>
              <w:br/>
            </w:r>
            <w:r w:rsidRPr="00E67E0A">
              <w:rPr>
                <w:rFonts w:ascii="Palatino Linotype" w:hAnsi="Palatino Linotype"/>
                <w:i/>
                <w:sz w:val="20"/>
                <w:szCs w:val="20"/>
              </w:rPr>
              <w:t xml:space="preserve">Skills Partnership Grant FY2019 #38 Transportation, </w:t>
            </w:r>
            <w:r w:rsidRPr="00E67E0A">
              <w:rPr>
                <w:rFonts w:ascii="Palatino Linotype" w:hAnsi="Palatino Linotype"/>
                <w:i/>
                <w:sz w:val="20"/>
                <w:szCs w:val="20"/>
              </w:rPr>
              <w:lastRenderedPageBreak/>
              <w:t>Logistics, and Distribution (TLD) Consortium</w:t>
            </w:r>
            <w:r w:rsidRPr="00E67E0A">
              <w:rPr>
                <w:rFonts w:ascii="Palatino Linotype" w:hAnsi="Palatino Linotype"/>
                <w:sz w:val="20"/>
                <w:szCs w:val="20"/>
              </w:rPr>
              <w:br/>
              <w:t>$86,200</w:t>
            </w:r>
          </w:p>
          <w:p w:rsidR="008E6E61" w:rsidRPr="00C87BBB" w:rsidRDefault="00CA36BF" w:rsidP="00DB67C5">
            <w:pPr>
              <w:rPr>
                <w:rFonts w:ascii="Palatino Linotype" w:hAnsi="Palatino Linotype"/>
                <w:b/>
                <w:sz w:val="20"/>
                <w:szCs w:val="20"/>
                <w:u w:val="single"/>
              </w:rPr>
            </w:pPr>
            <w:r w:rsidRPr="00E67E0A">
              <w:rPr>
                <w:rFonts w:ascii="Palatino Linotype" w:hAnsi="Palatino Linotype"/>
                <w:b/>
                <w:i/>
                <w:sz w:val="20"/>
                <w:szCs w:val="20"/>
              </w:rPr>
              <w:t>NJ Department of Labor &amp; Workforce Development</w:t>
            </w:r>
            <w:r w:rsidRPr="00E67E0A">
              <w:rPr>
                <w:rFonts w:ascii="Palatino Linotype" w:hAnsi="Palatino Linotype"/>
                <w:sz w:val="20"/>
                <w:szCs w:val="20"/>
              </w:rPr>
              <w:br/>
            </w:r>
            <w:r w:rsidRPr="00E67E0A">
              <w:rPr>
                <w:rFonts w:ascii="Palatino Linotype" w:hAnsi="Palatino Linotype"/>
                <w:i/>
                <w:sz w:val="20"/>
                <w:szCs w:val="20"/>
              </w:rPr>
              <w:t>Skills Partnership Grant FY2019 #39 Finance Consortium</w:t>
            </w:r>
            <w:r w:rsidRPr="00E67E0A">
              <w:rPr>
                <w:rFonts w:ascii="Palatino Linotype" w:hAnsi="Palatino Linotype"/>
                <w:i/>
                <w:sz w:val="20"/>
                <w:szCs w:val="20"/>
              </w:rPr>
              <w:br/>
            </w:r>
            <w:r w:rsidRPr="00E67E0A">
              <w:rPr>
                <w:rFonts w:ascii="Palatino Linotype" w:hAnsi="Palatino Linotype"/>
                <w:sz w:val="20"/>
                <w:szCs w:val="20"/>
              </w:rPr>
              <w:t>$88,452</w:t>
            </w:r>
          </w:p>
        </w:tc>
        <w:tc>
          <w:tcPr>
            <w:tcW w:w="5490" w:type="dxa"/>
            <w:gridSpan w:val="5"/>
            <w:tcBorders>
              <w:top w:val="nil"/>
            </w:tcBorders>
            <w:shd w:val="clear" w:color="auto" w:fill="FFD5AB"/>
          </w:tcPr>
          <w:p w:rsidR="008E6E61" w:rsidRPr="00486F02" w:rsidRDefault="008E6E61" w:rsidP="00CA36BF">
            <w:pPr>
              <w:spacing w:after="0" w:line="240" w:lineRule="auto"/>
              <w:rPr>
                <w:rFonts w:ascii="Palatino Linotype" w:hAnsi="Palatino Linotype"/>
                <w:sz w:val="20"/>
                <w:szCs w:val="20"/>
              </w:rPr>
            </w:pPr>
          </w:p>
        </w:tc>
      </w:tr>
      <w:tr w:rsidR="00825403" w:rsidRPr="00752727" w:rsidTr="00825403">
        <w:trPr>
          <w:trHeight w:hRule="exact" w:val="288"/>
        </w:trPr>
        <w:tc>
          <w:tcPr>
            <w:tcW w:w="1255" w:type="dxa"/>
            <w:vMerge w:val="restart"/>
            <w:vAlign w:val="center"/>
          </w:tcPr>
          <w:p w:rsidR="00825403" w:rsidRPr="00752727" w:rsidRDefault="00927D8D" w:rsidP="00EA011A">
            <w:pPr>
              <w:spacing w:after="0" w:line="240" w:lineRule="auto"/>
              <w:jc w:val="center"/>
            </w:pPr>
            <w:hyperlink r:id="rId39" w:history="1">
              <w:r w:rsidR="00825403" w:rsidRPr="00752727">
                <w:rPr>
                  <w:color w:val="0000FF"/>
                  <w:sz w:val="24"/>
                  <w:szCs w:val="24"/>
                  <w:u w:val="single"/>
                </w:rPr>
                <w:t>Workshops Calendar</w:t>
              </w:r>
            </w:hyperlink>
          </w:p>
        </w:tc>
        <w:tc>
          <w:tcPr>
            <w:tcW w:w="1440" w:type="dxa"/>
            <w:vMerge w:val="restart"/>
            <w:vAlign w:val="center"/>
          </w:tcPr>
          <w:p w:rsidR="00825403" w:rsidRPr="00752727" w:rsidRDefault="00927D8D" w:rsidP="00EA011A">
            <w:pPr>
              <w:spacing w:after="0" w:line="240" w:lineRule="auto"/>
              <w:jc w:val="center"/>
            </w:pPr>
            <w:hyperlink r:id="rId40" w:history="1">
              <w:r w:rsidR="00825403" w:rsidRPr="00752727">
                <w:rPr>
                  <w:color w:val="0000FF"/>
                  <w:sz w:val="24"/>
                  <w:szCs w:val="24"/>
                  <w:u w:val="single"/>
                </w:rPr>
                <w:t>Institutional Review Board</w:t>
              </w:r>
            </w:hyperlink>
          </w:p>
        </w:tc>
        <w:tc>
          <w:tcPr>
            <w:tcW w:w="1350" w:type="dxa"/>
            <w:gridSpan w:val="2"/>
            <w:vMerge w:val="restart"/>
            <w:vAlign w:val="center"/>
          </w:tcPr>
          <w:p w:rsidR="00825403" w:rsidRPr="00752727" w:rsidRDefault="00927D8D" w:rsidP="00EA011A">
            <w:pPr>
              <w:spacing w:after="0" w:line="240" w:lineRule="auto"/>
              <w:jc w:val="center"/>
              <w:rPr>
                <w:color w:val="0000FF"/>
                <w:sz w:val="24"/>
                <w:szCs w:val="24"/>
                <w:u w:val="single"/>
              </w:rPr>
            </w:pPr>
            <w:hyperlink r:id="rId41" w:history="1">
              <w:r w:rsidR="00825403" w:rsidRPr="00752727">
                <w:rPr>
                  <w:color w:val="0000FF"/>
                  <w:sz w:val="24"/>
                  <w:szCs w:val="24"/>
                  <w:u w:val="single"/>
                </w:rPr>
                <w:t>Preparing Proposals</w:t>
              </w:r>
            </w:hyperlink>
          </w:p>
        </w:tc>
        <w:tc>
          <w:tcPr>
            <w:tcW w:w="1710" w:type="dxa"/>
            <w:gridSpan w:val="2"/>
            <w:vMerge w:val="restart"/>
            <w:vAlign w:val="center"/>
          </w:tcPr>
          <w:p w:rsidR="00825403" w:rsidRPr="00752727" w:rsidRDefault="00927D8D" w:rsidP="00EA011A">
            <w:pPr>
              <w:spacing w:after="0" w:line="240" w:lineRule="auto"/>
              <w:jc w:val="center"/>
            </w:pPr>
            <w:hyperlink r:id="rId42" w:history="1">
              <w:r w:rsidR="00825403" w:rsidRPr="00752727">
                <w:rPr>
                  <w:color w:val="0000FF"/>
                  <w:sz w:val="24"/>
                  <w:szCs w:val="24"/>
                  <w:u w:val="single"/>
                </w:rPr>
                <w:t>Proposal Writing Resources</w:t>
              </w:r>
            </w:hyperlink>
          </w:p>
        </w:tc>
        <w:tc>
          <w:tcPr>
            <w:tcW w:w="1710" w:type="dxa"/>
            <w:vMerge w:val="restart"/>
            <w:vAlign w:val="center"/>
          </w:tcPr>
          <w:p w:rsidR="00825403" w:rsidRPr="00752727" w:rsidRDefault="00927D8D" w:rsidP="00EA011A">
            <w:pPr>
              <w:spacing w:after="0" w:line="240" w:lineRule="auto"/>
              <w:jc w:val="center"/>
            </w:pPr>
            <w:hyperlink r:id="rId43" w:history="1">
              <w:r w:rsidR="00825403" w:rsidRPr="00752727">
                <w:rPr>
                  <w:color w:val="0000FF"/>
                  <w:sz w:val="24"/>
                  <w:szCs w:val="24"/>
                  <w:u w:val="single"/>
                </w:rPr>
                <w:t>Recent Awards</w:t>
              </w:r>
            </w:hyperlink>
          </w:p>
        </w:tc>
        <w:tc>
          <w:tcPr>
            <w:tcW w:w="3150" w:type="dxa"/>
            <w:gridSpan w:val="3"/>
          </w:tcPr>
          <w:p w:rsidR="00825403" w:rsidRPr="00825403" w:rsidRDefault="00825403" w:rsidP="00825403">
            <w:pPr>
              <w:spacing w:after="0" w:line="240" w:lineRule="auto"/>
              <w:jc w:val="center"/>
              <w:rPr>
                <w:b/>
                <w:bCs/>
                <w:u w:val="single"/>
              </w:rPr>
            </w:pPr>
            <w:r w:rsidRPr="00825403">
              <w:rPr>
                <w:b/>
                <w:bCs/>
                <w:u w:val="single"/>
              </w:rPr>
              <w:t>Office Hours</w:t>
            </w:r>
          </w:p>
          <w:p w:rsidR="00825403" w:rsidRPr="00825403" w:rsidRDefault="00825403" w:rsidP="00D1503F">
            <w:pPr>
              <w:spacing w:after="0" w:line="240" w:lineRule="auto"/>
              <w:rPr>
                <w:b/>
                <w:bCs/>
                <w:u w:val="single"/>
              </w:rPr>
            </w:pPr>
          </w:p>
        </w:tc>
      </w:tr>
      <w:tr w:rsidR="00825403" w:rsidRPr="00752727" w:rsidTr="00825403">
        <w:trPr>
          <w:trHeight w:hRule="exact" w:val="288"/>
        </w:trPr>
        <w:tc>
          <w:tcPr>
            <w:tcW w:w="1255" w:type="dxa"/>
            <w:vMerge/>
            <w:vAlign w:val="center"/>
          </w:tcPr>
          <w:p w:rsidR="00825403" w:rsidRDefault="00825403" w:rsidP="00825403">
            <w:pPr>
              <w:spacing w:after="0" w:line="240" w:lineRule="auto"/>
              <w:jc w:val="center"/>
              <w:rPr>
                <w:color w:val="0000FF"/>
                <w:sz w:val="24"/>
                <w:szCs w:val="24"/>
                <w:u w:val="single"/>
              </w:rPr>
            </w:pPr>
          </w:p>
        </w:tc>
        <w:tc>
          <w:tcPr>
            <w:tcW w:w="1440" w:type="dxa"/>
            <w:vMerge/>
            <w:vAlign w:val="center"/>
          </w:tcPr>
          <w:p w:rsidR="00825403" w:rsidRDefault="00825403" w:rsidP="00825403">
            <w:pPr>
              <w:spacing w:after="0" w:line="240" w:lineRule="auto"/>
              <w:jc w:val="center"/>
              <w:rPr>
                <w:color w:val="0000FF"/>
                <w:sz w:val="24"/>
                <w:szCs w:val="24"/>
                <w:u w:val="single"/>
              </w:rPr>
            </w:pPr>
          </w:p>
        </w:tc>
        <w:tc>
          <w:tcPr>
            <w:tcW w:w="135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vMerge/>
            <w:vAlign w:val="center"/>
          </w:tcPr>
          <w:p w:rsidR="00825403" w:rsidRDefault="00825403" w:rsidP="00825403">
            <w:pPr>
              <w:spacing w:after="0" w:line="240" w:lineRule="auto"/>
              <w:jc w:val="center"/>
              <w:rPr>
                <w:color w:val="0000FF"/>
                <w:sz w:val="24"/>
                <w:szCs w:val="24"/>
                <w:u w:val="single"/>
              </w:rPr>
            </w:pPr>
          </w:p>
        </w:tc>
        <w:tc>
          <w:tcPr>
            <w:tcW w:w="1260" w:type="dxa"/>
            <w:gridSpan w:val="2"/>
          </w:tcPr>
          <w:p w:rsidR="00825403" w:rsidRPr="00825403" w:rsidRDefault="00825403" w:rsidP="00825403">
            <w:pPr>
              <w:spacing w:after="0" w:line="240" w:lineRule="auto"/>
              <w:rPr>
                <w:bCs/>
              </w:rPr>
            </w:pPr>
            <w:r w:rsidRPr="00825403">
              <w:rPr>
                <w:bCs/>
              </w:rPr>
              <w:t xml:space="preserve">Monday  </w:t>
            </w:r>
          </w:p>
        </w:tc>
        <w:tc>
          <w:tcPr>
            <w:tcW w:w="1890" w:type="dxa"/>
          </w:tcPr>
          <w:p w:rsidR="00825403" w:rsidRPr="00825403" w:rsidRDefault="00825403" w:rsidP="00825403">
            <w:pPr>
              <w:spacing w:after="0" w:line="240" w:lineRule="auto"/>
              <w:rPr>
                <w:bCs/>
              </w:rPr>
            </w:pPr>
            <w:r w:rsidRPr="00825403">
              <w:rPr>
                <w:bCs/>
              </w:rPr>
              <w:t>8:30AM – 4:30PM</w:t>
            </w:r>
          </w:p>
          <w:p w:rsidR="00825403" w:rsidRPr="00825403" w:rsidRDefault="00825403" w:rsidP="00825403">
            <w:pPr>
              <w:spacing w:after="0" w:line="240" w:lineRule="auto"/>
              <w:jc w:val="center"/>
              <w:rPr>
                <w:b/>
                <w:bCs/>
                <w:u w:val="single"/>
              </w:rPr>
            </w:pPr>
          </w:p>
        </w:tc>
      </w:tr>
      <w:tr w:rsidR="00825403" w:rsidRPr="00752727" w:rsidTr="00825403">
        <w:trPr>
          <w:trHeight w:hRule="exact" w:val="288"/>
        </w:trPr>
        <w:tc>
          <w:tcPr>
            <w:tcW w:w="1255" w:type="dxa"/>
            <w:vMerge/>
            <w:vAlign w:val="center"/>
          </w:tcPr>
          <w:p w:rsidR="00825403" w:rsidRDefault="00825403" w:rsidP="00825403">
            <w:pPr>
              <w:spacing w:after="0" w:line="240" w:lineRule="auto"/>
              <w:jc w:val="center"/>
              <w:rPr>
                <w:color w:val="0000FF"/>
                <w:sz w:val="24"/>
                <w:szCs w:val="24"/>
                <w:u w:val="single"/>
              </w:rPr>
            </w:pPr>
          </w:p>
        </w:tc>
        <w:tc>
          <w:tcPr>
            <w:tcW w:w="1440" w:type="dxa"/>
            <w:vMerge/>
            <w:vAlign w:val="center"/>
          </w:tcPr>
          <w:p w:rsidR="00825403" w:rsidRDefault="00825403" w:rsidP="00825403">
            <w:pPr>
              <w:spacing w:after="0" w:line="240" w:lineRule="auto"/>
              <w:jc w:val="center"/>
              <w:rPr>
                <w:color w:val="0000FF"/>
                <w:sz w:val="24"/>
                <w:szCs w:val="24"/>
                <w:u w:val="single"/>
              </w:rPr>
            </w:pPr>
          </w:p>
        </w:tc>
        <w:tc>
          <w:tcPr>
            <w:tcW w:w="135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vMerge/>
            <w:vAlign w:val="center"/>
          </w:tcPr>
          <w:p w:rsidR="00825403" w:rsidRDefault="00825403" w:rsidP="00825403">
            <w:pPr>
              <w:spacing w:after="0" w:line="240" w:lineRule="auto"/>
              <w:jc w:val="center"/>
              <w:rPr>
                <w:color w:val="0000FF"/>
                <w:sz w:val="24"/>
                <w:szCs w:val="24"/>
                <w:u w:val="single"/>
              </w:rPr>
            </w:pPr>
          </w:p>
        </w:tc>
        <w:tc>
          <w:tcPr>
            <w:tcW w:w="1260" w:type="dxa"/>
            <w:gridSpan w:val="2"/>
          </w:tcPr>
          <w:p w:rsidR="00825403" w:rsidRPr="00825403" w:rsidRDefault="00825403" w:rsidP="00825403">
            <w:pPr>
              <w:spacing w:after="0" w:line="240" w:lineRule="auto"/>
              <w:rPr>
                <w:b/>
                <w:bCs/>
                <w:u w:val="single"/>
              </w:rPr>
            </w:pPr>
            <w:r w:rsidRPr="00825403">
              <w:rPr>
                <w:bCs/>
              </w:rPr>
              <w:t>Tuesday</w:t>
            </w:r>
          </w:p>
        </w:tc>
        <w:tc>
          <w:tcPr>
            <w:tcW w:w="1890" w:type="dxa"/>
          </w:tcPr>
          <w:p w:rsidR="00825403" w:rsidRPr="00825403" w:rsidRDefault="00825403" w:rsidP="00825403">
            <w:pPr>
              <w:spacing w:after="0" w:line="240" w:lineRule="auto"/>
              <w:rPr>
                <w:bCs/>
              </w:rPr>
            </w:pPr>
            <w:r w:rsidRPr="00825403">
              <w:rPr>
                <w:bCs/>
              </w:rPr>
              <w:t>8:30AM – 4:30PM</w:t>
            </w:r>
          </w:p>
          <w:p w:rsidR="00825403" w:rsidRPr="00825403" w:rsidRDefault="00825403" w:rsidP="00825403">
            <w:pPr>
              <w:spacing w:after="0" w:line="240" w:lineRule="auto"/>
              <w:jc w:val="center"/>
              <w:rPr>
                <w:b/>
                <w:bCs/>
                <w:u w:val="single"/>
              </w:rPr>
            </w:pPr>
          </w:p>
        </w:tc>
      </w:tr>
      <w:tr w:rsidR="00825403" w:rsidRPr="00752727" w:rsidTr="00825403">
        <w:trPr>
          <w:trHeight w:hRule="exact" w:val="288"/>
        </w:trPr>
        <w:tc>
          <w:tcPr>
            <w:tcW w:w="1255" w:type="dxa"/>
            <w:vMerge/>
            <w:vAlign w:val="center"/>
          </w:tcPr>
          <w:p w:rsidR="00825403" w:rsidRDefault="00825403" w:rsidP="00825403">
            <w:pPr>
              <w:spacing w:after="0" w:line="240" w:lineRule="auto"/>
              <w:jc w:val="center"/>
              <w:rPr>
                <w:color w:val="0000FF"/>
                <w:sz w:val="24"/>
                <w:szCs w:val="24"/>
                <w:u w:val="single"/>
              </w:rPr>
            </w:pPr>
          </w:p>
        </w:tc>
        <w:tc>
          <w:tcPr>
            <w:tcW w:w="1440" w:type="dxa"/>
            <w:vMerge/>
            <w:vAlign w:val="center"/>
          </w:tcPr>
          <w:p w:rsidR="00825403" w:rsidRDefault="00825403" w:rsidP="00825403">
            <w:pPr>
              <w:spacing w:after="0" w:line="240" w:lineRule="auto"/>
              <w:jc w:val="center"/>
              <w:rPr>
                <w:color w:val="0000FF"/>
                <w:sz w:val="24"/>
                <w:szCs w:val="24"/>
                <w:u w:val="single"/>
              </w:rPr>
            </w:pPr>
          </w:p>
        </w:tc>
        <w:tc>
          <w:tcPr>
            <w:tcW w:w="135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vMerge/>
            <w:vAlign w:val="center"/>
          </w:tcPr>
          <w:p w:rsidR="00825403" w:rsidRDefault="00825403" w:rsidP="00825403">
            <w:pPr>
              <w:spacing w:after="0" w:line="240" w:lineRule="auto"/>
              <w:jc w:val="center"/>
              <w:rPr>
                <w:color w:val="0000FF"/>
                <w:sz w:val="24"/>
                <w:szCs w:val="24"/>
                <w:u w:val="single"/>
              </w:rPr>
            </w:pPr>
          </w:p>
        </w:tc>
        <w:tc>
          <w:tcPr>
            <w:tcW w:w="1260" w:type="dxa"/>
            <w:gridSpan w:val="2"/>
          </w:tcPr>
          <w:p w:rsidR="00825403" w:rsidRPr="00825403" w:rsidRDefault="00825403" w:rsidP="00825403">
            <w:pPr>
              <w:spacing w:after="0" w:line="240" w:lineRule="auto"/>
              <w:rPr>
                <w:bCs/>
              </w:rPr>
            </w:pPr>
            <w:r w:rsidRPr="00825403">
              <w:rPr>
                <w:bCs/>
              </w:rPr>
              <w:t xml:space="preserve">Wednesday  </w:t>
            </w:r>
          </w:p>
        </w:tc>
        <w:tc>
          <w:tcPr>
            <w:tcW w:w="1890" w:type="dxa"/>
          </w:tcPr>
          <w:p w:rsidR="00825403" w:rsidRPr="00825403" w:rsidRDefault="00825403" w:rsidP="00825403">
            <w:pPr>
              <w:spacing w:after="0" w:line="240" w:lineRule="auto"/>
              <w:rPr>
                <w:bCs/>
              </w:rPr>
            </w:pPr>
            <w:r w:rsidRPr="00825403">
              <w:rPr>
                <w:bCs/>
              </w:rPr>
              <w:t>8:30AM – 4:30PM</w:t>
            </w:r>
          </w:p>
          <w:p w:rsidR="00825403" w:rsidRPr="00825403" w:rsidRDefault="00825403" w:rsidP="00825403">
            <w:pPr>
              <w:spacing w:after="0" w:line="240" w:lineRule="auto"/>
              <w:jc w:val="center"/>
              <w:rPr>
                <w:b/>
                <w:bCs/>
                <w:u w:val="single"/>
              </w:rPr>
            </w:pPr>
          </w:p>
        </w:tc>
      </w:tr>
      <w:tr w:rsidR="00825403" w:rsidRPr="00752727" w:rsidTr="00825403">
        <w:trPr>
          <w:trHeight w:hRule="exact" w:val="288"/>
        </w:trPr>
        <w:tc>
          <w:tcPr>
            <w:tcW w:w="1255" w:type="dxa"/>
            <w:vMerge/>
            <w:vAlign w:val="center"/>
          </w:tcPr>
          <w:p w:rsidR="00825403" w:rsidRDefault="00825403" w:rsidP="00825403">
            <w:pPr>
              <w:spacing w:after="0" w:line="240" w:lineRule="auto"/>
              <w:jc w:val="center"/>
              <w:rPr>
                <w:color w:val="0000FF"/>
                <w:sz w:val="24"/>
                <w:szCs w:val="24"/>
                <w:u w:val="single"/>
              </w:rPr>
            </w:pPr>
          </w:p>
        </w:tc>
        <w:tc>
          <w:tcPr>
            <w:tcW w:w="1440" w:type="dxa"/>
            <w:vMerge/>
            <w:vAlign w:val="center"/>
          </w:tcPr>
          <w:p w:rsidR="00825403" w:rsidRDefault="00825403" w:rsidP="00825403">
            <w:pPr>
              <w:spacing w:after="0" w:line="240" w:lineRule="auto"/>
              <w:jc w:val="center"/>
              <w:rPr>
                <w:color w:val="0000FF"/>
                <w:sz w:val="24"/>
                <w:szCs w:val="24"/>
                <w:u w:val="single"/>
              </w:rPr>
            </w:pPr>
          </w:p>
        </w:tc>
        <w:tc>
          <w:tcPr>
            <w:tcW w:w="135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vMerge/>
            <w:vAlign w:val="center"/>
          </w:tcPr>
          <w:p w:rsidR="00825403" w:rsidRDefault="00825403" w:rsidP="00825403">
            <w:pPr>
              <w:spacing w:after="0" w:line="240" w:lineRule="auto"/>
              <w:jc w:val="center"/>
              <w:rPr>
                <w:color w:val="0000FF"/>
                <w:sz w:val="24"/>
                <w:szCs w:val="24"/>
                <w:u w:val="single"/>
              </w:rPr>
            </w:pPr>
          </w:p>
        </w:tc>
        <w:tc>
          <w:tcPr>
            <w:tcW w:w="1260" w:type="dxa"/>
            <w:gridSpan w:val="2"/>
          </w:tcPr>
          <w:p w:rsidR="00825403" w:rsidRPr="00825403" w:rsidRDefault="00825403" w:rsidP="00825403">
            <w:pPr>
              <w:spacing w:after="0" w:line="240" w:lineRule="auto"/>
              <w:rPr>
                <w:bCs/>
              </w:rPr>
            </w:pPr>
            <w:r w:rsidRPr="00825403">
              <w:rPr>
                <w:bCs/>
              </w:rPr>
              <w:t>Thursday</w:t>
            </w:r>
          </w:p>
        </w:tc>
        <w:tc>
          <w:tcPr>
            <w:tcW w:w="1890" w:type="dxa"/>
          </w:tcPr>
          <w:p w:rsidR="00825403" w:rsidRPr="00825403" w:rsidRDefault="00825403" w:rsidP="00825403">
            <w:pPr>
              <w:spacing w:after="0" w:line="240" w:lineRule="auto"/>
              <w:rPr>
                <w:bCs/>
              </w:rPr>
            </w:pPr>
            <w:r w:rsidRPr="00825403">
              <w:rPr>
                <w:bCs/>
              </w:rPr>
              <w:t>8:30AM – 4:30PM</w:t>
            </w:r>
          </w:p>
          <w:p w:rsidR="00825403" w:rsidRPr="00825403" w:rsidRDefault="00825403" w:rsidP="00825403">
            <w:pPr>
              <w:spacing w:after="0" w:line="240" w:lineRule="auto"/>
              <w:jc w:val="center"/>
              <w:rPr>
                <w:b/>
                <w:bCs/>
                <w:u w:val="single"/>
              </w:rPr>
            </w:pPr>
          </w:p>
        </w:tc>
      </w:tr>
      <w:tr w:rsidR="00825403" w:rsidRPr="00752727" w:rsidTr="00825403">
        <w:trPr>
          <w:trHeight w:hRule="exact" w:val="288"/>
        </w:trPr>
        <w:tc>
          <w:tcPr>
            <w:tcW w:w="1255" w:type="dxa"/>
            <w:vMerge/>
            <w:vAlign w:val="center"/>
          </w:tcPr>
          <w:p w:rsidR="00825403" w:rsidRDefault="00825403" w:rsidP="00825403">
            <w:pPr>
              <w:spacing w:after="0" w:line="240" w:lineRule="auto"/>
              <w:jc w:val="center"/>
              <w:rPr>
                <w:color w:val="0000FF"/>
                <w:sz w:val="24"/>
                <w:szCs w:val="24"/>
                <w:u w:val="single"/>
              </w:rPr>
            </w:pPr>
          </w:p>
        </w:tc>
        <w:tc>
          <w:tcPr>
            <w:tcW w:w="1440" w:type="dxa"/>
            <w:vMerge/>
            <w:vAlign w:val="center"/>
          </w:tcPr>
          <w:p w:rsidR="00825403" w:rsidRDefault="00825403" w:rsidP="00825403">
            <w:pPr>
              <w:spacing w:after="0" w:line="240" w:lineRule="auto"/>
              <w:jc w:val="center"/>
              <w:rPr>
                <w:color w:val="0000FF"/>
                <w:sz w:val="24"/>
                <w:szCs w:val="24"/>
                <w:u w:val="single"/>
              </w:rPr>
            </w:pPr>
          </w:p>
        </w:tc>
        <w:tc>
          <w:tcPr>
            <w:tcW w:w="135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gridSpan w:val="2"/>
            <w:vMerge/>
            <w:vAlign w:val="center"/>
          </w:tcPr>
          <w:p w:rsidR="00825403" w:rsidRDefault="00825403" w:rsidP="00825403">
            <w:pPr>
              <w:spacing w:after="0" w:line="240" w:lineRule="auto"/>
              <w:jc w:val="center"/>
              <w:rPr>
                <w:color w:val="0000FF"/>
                <w:sz w:val="24"/>
                <w:szCs w:val="24"/>
                <w:u w:val="single"/>
              </w:rPr>
            </w:pPr>
          </w:p>
        </w:tc>
        <w:tc>
          <w:tcPr>
            <w:tcW w:w="1710" w:type="dxa"/>
            <w:vMerge/>
            <w:vAlign w:val="center"/>
          </w:tcPr>
          <w:p w:rsidR="00825403" w:rsidRDefault="00825403" w:rsidP="00825403">
            <w:pPr>
              <w:spacing w:after="0" w:line="240" w:lineRule="auto"/>
              <w:jc w:val="center"/>
              <w:rPr>
                <w:color w:val="0000FF"/>
                <w:sz w:val="24"/>
                <w:szCs w:val="24"/>
                <w:u w:val="single"/>
              </w:rPr>
            </w:pPr>
          </w:p>
        </w:tc>
        <w:tc>
          <w:tcPr>
            <w:tcW w:w="1260" w:type="dxa"/>
            <w:gridSpan w:val="2"/>
          </w:tcPr>
          <w:p w:rsidR="00825403" w:rsidRPr="00825403" w:rsidRDefault="00825403" w:rsidP="00825403">
            <w:pPr>
              <w:spacing w:after="0" w:line="240" w:lineRule="auto"/>
              <w:rPr>
                <w:b/>
                <w:bCs/>
                <w:u w:val="single"/>
              </w:rPr>
            </w:pPr>
            <w:r w:rsidRPr="00825403">
              <w:rPr>
                <w:bCs/>
              </w:rPr>
              <w:t xml:space="preserve">Friday   </w:t>
            </w:r>
          </w:p>
        </w:tc>
        <w:tc>
          <w:tcPr>
            <w:tcW w:w="1890" w:type="dxa"/>
          </w:tcPr>
          <w:p w:rsidR="00825403" w:rsidRPr="00825403" w:rsidRDefault="00825403" w:rsidP="00825403">
            <w:pPr>
              <w:spacing w:after="0" w:line="240" w:lineRule="auto"/>
              <w:rPr>
                <w:b/>
                <w:bCs/>
                <w:u w:val="single"/>
              </w:rPr>
            </w:pPr>
            <w:r w:rsidRPr="00825403">
              <w:rPr>
                <w:bCs/>
              </w:rPr>
              <w:t>8:30AM – 4:30PM</w:t>
            </w:r>
          </w:p>
        </w:tc>
      </w:tr>
    </w:tbl>
    <w:p w:rsidR="00505FC4" w:rsidRDefault="00505FC4" w:rsidP="00505FC4"/>
    <w:bookmarkEnd w:id="0"/>
    <w:p w:rsidR="004A06F4" w:rsidRDefault="004A06F4"/>
    <w:sectPr w:rsidR="004A06F4" w:rsidSect="006C728A">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2CA" w:rsidRDefault="007532CA">
      <w:pPr>
        <w:spacing w:after="0" w:line="240" w:lineRule="auto"/>
      </w:pPr>
      <w:r>
        <w:separator/>
      </w:r>
    </w:p>
  </w:endnote>
  <w:endnote w:type="continuationSeparator" w:id="0">
    <w:p w:rsidR="007532CA" w:rsidRDefault="0075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2CA" w:rsidRDefault="007532CA">
      <w:pPr>
        <w:spacing w:after="0" w:line="240" w:lineRule="auto"/>
      </w:pPr>
      <w:r>
        <w:separator/>
      </w:r>
    </w:p>
  </w:footnote>
  <w:footnote w:type="continuationSeparator" w:id="0">
    <w:p w:rsidR="007532CA" w:rsidRDefault="0075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D3B"/>
    <w:multiLevelType w:val="hybridMultilevel"/>
    <w:tmpl w:val="F0826526"/>
    <w:lvl w:ilvl="0" w:tplc="7BD4ED0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22778"/>
    <w:multiLevelType w:val="multilevel"/>
    <w:tmpl w:val="D626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F149B"/>
    <w:multiLevelType w:val="hybridMultilevel"/>
    <w:tmpl w:val="6C36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03596"/>
    <w:multiLevelType w:val="hybridMultilevel"/>
    <w:tmpl w:val="CBAAE38E"/>
    <w:lvl w:ilvl="0" w:tplc="3458985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708F1"/>
    <w:multiLevelType w:val="hybridMultilevel"/>
    <w:tmpl w:val="81D2E45A"/>
    <w:lvl w:ilvl="0" w:tplc="97B8FBD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60678"/>
    <w:multiLevelType w:val="hybridMultilevel"/>
    <w:tmpl w:val="3A68F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5E1BE9"/>
    <w:multiLevelType w:val="multilevel"/>
    <w:tmpl w:val="DA06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807BE8"/>
    <w:multiLevelType w:val="hybridMultilevel"/>
    <w:tmpl w:val="8348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336D25"/>
    <w:multiLevelType w:val="multilevel"/>
    <w:tmpl w:val="DB7CB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1F53CD"/>
    <w:multiLevelType w:val="multilevel"/>
    <w:tmpl w:val="3B92C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9"/>
    <w:lvlOverride w:ilvl="0">
      <w:startOverride w:val="4"/>
    </w:lvlOverride>
  </w:num>
  <w:num w:numId="6">
    <w:abstractNumId w:val="1"/>
  </w:num>
  <w:num w:numId="7">
    <w:abstractNumId w:val="0"/>
  </w:num>
  <w:num w:numId="8">
    <w:abstractNumId w:val="4"/>
  </w:num>
  <w:num w:numId="9">
    <w:abstractNumId w:val="3"/>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C4"/>
    <w:rsid w:val="000001E5"/>
    <w:rsid w:val="00003A5D"/>
    <w:rsid w:val="00016193"/>
    <w:rsid w:val="00027FEC"/>
    <w:rsid w:val="000300C6"/>
    <w:rsid w:val="00036D0F"/>
    <w:rsid w:val="0004191A"/>
    <w:rsid w:val="00041944"/>
    <w:rsid w:val="000428E9"/>
    <w:rsid w:val="000430B5"/>
    <w:rsid w:val="00046708"/>
    <w:rsid w:val="000508EA"/>
    <w:rsid w:val="00051C63"/>
    <w:rsid w:val="0005336C"/>
    <w:rsid w:val="0005587B"/>
    <w:rsid w:val="00062803"/>
    <w:rsid w:val="00080027"/>
    <w:rsid w:val="000823E8"/>
    <w:rsid w:val="000859FA"/>
    <w:rsid w:val="0008774C"/>
    <w:rsid w:val="00092427"/>
    <w:rsid w:val="000A0D6A"/>
    <w:rsid w:val="000A19C0"/>
    <w:rsid w:val="000A26AE"/>
    <w:rsid w:val="000A3006"/>
    <w:rsid w:val="000A648E"/>
    <w:rsid w:val="000A7794"/>
    <w:rsid w:val="000A7B0A"/>
    <w:rsid w:val="000B2A31"/>
    <w:rsid w:val="000B306A"/>
    <w:rsid w:val="000B590B"/>
    <w:rsid w:val="000B7B66"/>
    <w:rsid w:val="000C6701"/>
    <w:rsid w:val="000C6D4E"/>
    <w:rsid w:val="000C6EF3"/>
    <w:rsid w:val="000C76D5"/>
    <w:rsid w:val="000D2B31"/>
    <w:rsid w:val="000E01AE"/>
    <w:rsid w:val="000E1C67"/>
    <w:rsid w:val="000E4E5E"/>
    <w:rsid w:val="000F01FF"/>
    <w:rsid w:val="000F33FD"/>
    <w:rsid w:val="000F5A84"/>
    <w:rsid w:val="00100E3B"/>
    <w:rsid w:val="00105A7A"/>
    <w:rsid w:val="0010677F"/>
    <w:rsid w:val="001103AB"/>
    <w:rsid w:val="00110740"/>
    <w:rsid w:val="00115191"/>
    <w:rsid w:val="0012242A"/>
    <w:rsid w:val="001226E3"/>
    <w:rsid w:val="0012555D"/>
    <w:rsid w:val="00127C98"/>
    <w:rsid w:val="00127F34"/>
    <w:rsid w:val="00130278"/>
    <w:rsid w:val="0013498D"/>
    <w:rsid w:val="001400D9"/>
    <w:rsid w:val="001451D3"/>
    <w:rsid w:val="00153077"/>
    <w:rsid w:val="00153A18"/>
    <w:rsid w:val="0015502E"/>
    <w:rsid w:val="0015764C"/>
    <w:rsid w:val="00157BD2"/>
    <w:rsid w:val="001608A9"/>
    <w:rsid w:val="001611C8"/>
    <w:rsid w:val="0016150D"/>
    <w:rsid w:val="00161CEA"/>
    <w:rsid w:val="001622D6"/>
    <w:rsid w:val="00165CC4"/>
    <w:rsid w:val="00171833"/>
    <w:rsid w:val="00183323"/>
    <w:rsid w:val="001919C3"/>
    <w:rsid w:val="0019230E"/>
    <w:rsid w:val="00192D9B"/>
    <w:rsid w:val="0019636F"/>
    <w:rsid w:val="001A6EBF"/>
    <w:rsid w:val="001C0FD0"/>
    <w:rsid w:val="001C1F10"/>
    <w:rsid w:val="001C5698"/>
    <w:rsid w:val="001C7668"/>
    <w:rsid w:val="001D07BA"/>
    <w:rsid w:val="001D1506"/>
    <w:rsid w:val="001D3554"/>
    <w:rsid w:val="001E09DD"/>
    <w:rsid w:val="001E2F70"/>
    <w:rsid w:val="001E42FF"/>
    <w:rsid w:val="001E56D4"/>
    <w:rsid w:val="001E7788"/>
    <w:rsid w:val="001E7BDA"/>
    <w:rsid w:val="0020020B"/>
    <w:rsid w:val="002016CF"/>
    <w:rsid w:val="00206741"/>
    <w:rsid w:val="00210CC6"/>
    <w:rsid w:val="00215658"/>
    <w:rsid w:val="002227B1"/>
    <w:rsid w:val="00226F3B"/>
    <w:rsid w:val="00227F0F"/>
    <w:rsid w:val="00232C69"/>
    <w:rsid w:val="00233729"/>
    <w:rsid w:val="00240F68"/>
    <w:rsid w:val="00246CBB"/>
    <w:rsid w:val="00250293"/>
    <w:rsid w:val="00252856"/>
    <w:rsid w:val="002543EA"/>
    <w:rsid w:val="00265D55"/>
    <w:rsid w:val="00266B3A"/>
    <w:rsid w:val="002670E8"/>
    <w:rsid w:val="00272CF9"/>
    <w:rsid w:val="0027628E"/>
    <w:rsid w:val="00280201"/>
    <w:rsid w:val="0028099A"/>
    <w:rsid w:val="00283F3C"/>
    <w:rsid w:val="00283F3E"/>
    <w:rsid w:val="002867C6"/>
    <w:rsid w:val="00286D89"/>
    <w:rsid w:val="002A164A"/>
    <w:rsid w:val="002A56D6"/>
    <w:rsid w:val="002A5C87"/>
    <w:rsid w:val="002B2EA5"/>
    <w:rsid w:val="002B4601"/>
    <w:rsid w:val="002C0039"/>
    <w:rsid w:val="002C2495"/>
    <w:rsid w:val="002C31A9"/>
    <w:rsid w:val="002D6079"/>
    <w:rsid w:val="002E2518"/>
    <w:rsid w:val="002E4B33"/>
    <w:rsid w:val="002E77DE"/>
    <w:rsid w:val="002F1074"/>
    <w:rsid w:val="002F7271"/>
    <w:rsid w:val="0030167C"/>
    <w:rsid w:val="00301934"/>
    <w:rsid w:val="00301AE7"/>
    <w:rsid w:val="00302429"/>
    <w:rsid w:val="00311B8C"/>
    <w:rsid w:val="00314D2C"/>
    <w:rsid w:val="00315581"/>
    <w:rsid w:val="003160B4"/>
    <w:rsid w:val="003176B2"/>
    <w:rsid w:val="0032101F"/>
    <w:rsid w:val="003253F2"/>
    <w:rsid w:val="00325828"/>
    <w:rsid w:val="00333681"/>
    <w:rsid w:val="0033370D"/>
    <w:rsid w:val="0033377D"/>
    <w:rsid w:val="00333D6D"/>
    <w:rsid w:val="00334A2E"/>
    <w:rsid w:val="00340297"/>
    <w:rsid w:val="00340624"/>
    <w:rsid w:val="0034466A"/>
    <w:rsid w:val="00345E44"/>
    <w:rsid w:val="00347F31"/>
    <w:rsid w:val="00351C16"/>
    <w:rsid w:val="00353841"/>
    <w:rsid w:val="00357818"/>
    <w:rsid w:val="0036062D"/>
    <w:rsid w:val="00360D8C"/>
    <w:rsid w:val="0036103A"/>
    <w:rsid w:val="0036261C"/>
    <w:rsid w:val="003708F1"/>
    <w:rsid w:val="00376A22"/>
    <w:rsid w:val="00377B23"/>
    <w:rsid w:val="00383776"/>
    <w:rsid w:val="00384DEC"/>
    <w:rsid w:val="003A44E0"/>
    <w:rsid w:val="003B182C"/>
    <w:rsid w:val="003B1E0E"/>
    <w:rsid w:val="003B2099"/>
    <w:rsid w:val="003B4FEB"/>
    <w:rsid w:val="003B6049"/>
    <w:rsid w:val="003C2B7D"/>
    <w:rsid w:val="003C2E70"/>
    <w:rsid w:val="003C3032"/>
    <w:rsid w:val="003D739E"/>
    <w:rsid w:val="003E5765"/>
    <w:rsid w:val="003E6417"/>
    <w:rsid w:val="003F2DAC"/>
    <w:rsid w:val="003F3E5E"/>
    <w:rsid w:val="003F4BB5"/>
    <w:rsid w:val="003F7855"/>
    <w:rsid w:val="00401B5D"/>
    <w:rsid w:val="0040316E"/>
    <w:rsid w:val="0040431E"/>
    <w:rsid w:val="004054B8"/>
    <w:rsid w:val="00420779"/>
    <w:rsid w:val="004234F7"/>
    <w:rsid w:val="00431A91"/>
    <w:rsid w:val="00435014"/>
    <w:rsid w:val="00436E33"/>
    <w:rsid w:val="00452317"/>
    <w:rsid w:val="00454232"/>
    <w:rsid w:val="004575B3"/>
    <w:rsid w:val="00457E03"/>
    <w:rsid w:val="00460D35"/>
    <w:rsid w:val="00462575"/>
    <w:rsid w:val="00464D04"/>
    <w:rsid w:val="004677DA"/>
    <w:rsid w:val="0047121E"/>
    <w:rsid w:val="0047316D"/>
    <w:rsid w:val="004735BE"/>
    <w:rsid w:val="00474DFF"/>
    <w:rsid w:val="0048064B"/>
    <w:rsid w:val="00483C77"/>
    <w:rsid w:val="00486F02"/>
    <w:rsid w:val="00490173"/>
    <w:rsid w:val="00492EC2"/>
    <w:rsid w:val="00493503"/>
    <w:rsid w:val="004A06F4"/>
    <w:rsid w:val="004A408F"/>
    <w:rsid w:val="004A445D"/>
    <w:rsid w:val="004A4EB2"/>
    <w:rsid w:val="004A662D"/>
    <w:rsid w:val="004A758A"/>
    <w:rsid w:val="004B031B"/>
    <w:rsid w:val="004C10C1"/>
    <w:rsid w:val="004C316F"/>
    <w:rsid w:val="004C36CD"/>
    <w:rsid w:val="004D4E23"/>
    <w:rsid w:val="004E4318"/>
    <w:rsid w:val="004F001E"/>
    <w:rsid w:val="004F7F9C"/>
    <w:rsid w:val="00501282"/>
    <w:rsid w:val="00505048"/>
    <w:rsid w:val="00505FC4"/>
    <w:rsid w:val="005072E2"/>
    <w:rsid w:val="00510A7B"/>
    <w:rsid w:val="00511581"/>
    <w:rsid w:val="005123FC"/>
    <w:rsid w:val="00516777"/>
    <w:rsid w:val="005179B8"/>
    <w:rsid w:val="005222A8"/>
    <w:rsid w:val="005226E9"/>
    <w:rsid w:val="005324EC"/>
    <w:rsid w:val="0053291A"/>
    <w:rsid w:val="005344D4"/>
    <w:rsid w:val="00535831"/>
    <w:rsid w:val="00536248"/>
    <w:rsid w:val="00540D26"/>
    <w:rsid w:val="00540D44"/>
    <w:rsid w:val="00550D44"/>
    <w:rsid w:val="00554060"/>
    <w:rsid w:val="00554107"/>
    <w:rsid w:val="00556BEB"/>
    <w:rsid w:val="00570E11"/>
    <w:rsid w:val="00574847"/>
    <w:rsid w:val="00575427"/>
    <w:rsid w:val="00576A4D"/>
    <w:rsid w:val="0058104A"/>
    <w:rsid w:val="0058195B"/>
    <w:rsid w:val="0058311A"/>
    <w:rsid w:val="00586AF5"/>
    <w:rsid w:val="00590250"/>
    <w:rsid w:val="00591806"/>
    <w:rsid w:val="005922AE"/>
    <w:rsid w:val="00594DD6"/>
    <w:rsid w:val="005A2E9D"/>
    <w:rsid w:val="005A3418"/>
    <w:rsid w:val="005A59B7"/>
    <w:rsid w:val="005A6B26"/>
    <w:rsid w:val="005B1A4A"/>
    <w:rsid w:val="005B47B7"/>
    <w:rsid w:val="005B6660"/>
    <w:rsid w:val="005D4B84"/>
    <w:rsid w:val="005F18EB"/>
    <w:rsid w:val="005F22E9"/>
    <w:rsid w:val="005F2C25"/>
    <w:rsid w:val="005F3053"/>
    <w:rsid w:val="005F447C"/>
    <w:rsid w:val="00605BA3"/>
    <w:rsid w:val="006323DB"/>
    <w:rsid w:val="006339B3"/>
    <w:rsid w:val="00634682"/>
    <w:rsid w:val="006443BC"/>
    <w:rsid w:val="00644B2F"/>
    <w:rsid w:val="00647655"/>
    <w:rsid w:val="006557F6"/>
    <w:rsid w:val="00661842"/>
    <w:rsid w:val="006656AB"/>
    <w:rsid w:val="00666C04"/>
    <w:rsid w:val="00667D37"/>
    <w:rsid w:val="006759CA"/>
    <w:rsid w:val="006820C0"/>
    <w:rsid w:val="00682DF9"/>
    <w:rsid w:val="00682FB6"/>
    <w:rsid w:val="006840A9"/>
    <w:rsid w:val="006844F4"/>
    <w:rsid w:val="006854A1"/>
    <w:rsid w:val="0069117E"/>
    <w:rsid w:val="00693F43"/>
    <w:rsid w:val="006977D0"/>
    <w:rsid w:val="006A028D"/>
    <w:rsid w:val="006A5328"/>
    <w:rsid w:val="006A6B28"/>
    <w:rsid w:val="006B002A"/>
    <w:rsid w:val="006B096E"/>
    <w:rsid w:val="006B30E8"/>
    <w:rsid w:val="006B3DA7"/>
    <w:rsid w:val="006B45A5"/>
    <w:rsid w:val="006B4B96"/>
    <w:rsid w:val="006C1D98"/>
    <w:rsid w:val="006C4382"/>
    <w:rsid w:val="006C4D89"/>
    <w:rsid w:val="006C6066"/>
    <w:rsid w:val="006C728A"/>
    <w:rsid w:val="006D0356"/>
    <w:rsid w:val="006D2758"/>
    <w:rsid w:val="006D31B8"/>
    <w:rsid w:val="006D77A4"/>
    <w:rsid w:val="006E0CF8"/>
    <w:rsid w:val="006E1927"/>
    <w:rsid w:val="006E1D7E"/>
    <w:rsid w:val="006E3AEF"/>
    <w:rsid w:val="006E77DF"/>
    <w:rsid w:val="006F4290"/>
    <w:rsid w:val="006F648E"/>
    <w:rsid w:val="00703C3F"/>
    <w:rsid w:val="0070406A"/>
    <w:rsid w:val="00704498"/>
    <w:rsid w:val="007077E8"/>
    <w:rsid w:val="0071187A"/>
    <w:rsid w:val="00713C53"/>
    <w:rsid w:val="007259C2"/>
    <w:rsid w:val="00725C6F"/>
    <w:rsid w:val="0072678C"/>
    <w:rsid w:val="0073150C"/>
    <w:rsid w:val="0073151D"/>
    <w:rsid w:val="007346FC"/>
    <w:rsid w:val="00734DE4"/>
    <w:rsid w:val="00737B48"/>
    <w:rsid w:val="007411A9"/>
    <w:rsid w:val="007430A7"/>
    <w:rsid w:val="007532CA"/>
    <w:rsid w:val="007532E5"/>
    <w:rsid w:val="007606B2"/>
    <w:rsid w:val="007609D0"/>
    <w:rsid w:val="007624D3"/>
    <w:rsid w:val="0076465A"/>
    <w:rsid w:val="00767559"/>
    <w:rsid w:val="007800E3"/>
    <w:rsid w:val="00780410"/>
    <w:rsid w:val="00783626"/>
    <w:rsid w:val="0078682B"/>
    <w:rsid w:val="00786F3B"/>
    <w:rsid w:val="007A6F06"/>
    <w:rsid w:val="007A7561"/>
    <w:rsid w:val="007B197B"/>
    <w:rsid w:val="007B2F27"/>
    <w:rsid w:val="007B4E2B"/>
    <w:rsid w:val="007C31EC"/>
    <w:rsid w:val="007C4D71"/>
    <w:rsid w:val="007C7B23"/>
    <w:rsid w:val="007D00E3"/>
    <w:rsid w:val="007D00EC"/>
    <w:rsid w:val="007D7549"/>
    <w:rsid w:val="007E1D0F"/>
    <w:rsid w:val="007E2C66"/>
    <w:rsid w:val="007E782C"/>
    <w:rsid w:val="007F1219"/>
    <w:rsid w:val="007F5AA2"/>
    <w:rsid w:val="007F725D"/>
    <w:rsid w:val="007F73CC"/>
    <w:rsid w:val="007F79D3"/>
    <w:rsid w:val="00800DB9"/>
    <w:rsid w:val="00804FD9"/>
    <w:rsid w:val="0080784B"/>
    <w:rsid w:val="00814188"/>
    <w:rsid w:val="008153D4"/>
    <w:rsid w:val="008201C3"/>
    <w:rsid w:val="00822D4B"/>
    <w:rsid w:val="00825403"/>
    <w:rsid w:val="008278D5"/>
    <w:rsid w:val="008337B8"/>
    <w:rsid w:val="00836FF2"/>
    <w:rsid w:val="00840240"/>
    <w:rsid w:val="00842FDB"/>
    <w:rsid w:val="00852D0D"/>
    <w:rsid w:val="0085359E"/>
    <w:rsid w:val="00853D6C"/>
    <w:rsid w:val="008561EF"/>
    <w:rsid w:val="0086003D"/>
    <w:rsid w:val="00861001"/>
    <w:rsid w:val="00867CA4"/>
    <w:rsid w:val="0087000D"/>
    <w:rsid w:val="00871F7F"/>
    <w:rsid w:val="00875211"/>
    <w:rsid w:val="008765A8"/>
    <w:rsid w:val="00886A78"/>
    <w:rsid w:val="008904E2"/>
    <w:rsid w:val="008925D2"/>
    <w:rsid w:val="00895458"/>
    <w:rsid w:val="0089711A"/>
    <w:rsid w:val="008A0CD3"/>
    <w:rsid w:val="008A43DF"/>
    <w:rsid w:val="008A6565"/>
    <w:rsid w:val="008B72DB"/>
    <w:rsid w:val="008B7EE8"/>
    <w:rsid w:val="008C39F7"/>
    <w:rsid w:val="008C7EEB"/>
    <w:rsid w:val="008D0C4B"/>
    <w:rsid w:val="008D1EC7"/>
    <w:rsid w:val="008D76B5"/>
    <w:rsid w:val="008E0F8D"/>
    <w:rsid w:val="008E6E61"/>
    <w:rsid w:val="008E7FCF"/>
    <w:rsid w:val="008F11CC"/>
    <w:rsid w:val="008F23DE"/>
    <w:rsid w:val="00900550"/>
    <w:rsid w:val="0090757F"/>
    <w:rsid w:val="009167FB"/>
    <w:rsid w:val="00917ADB"/>
    <w:rsid w:val="009235F1"/>
    <w:rsid w:val="00925CF7"/>
    <w:rsid w:val="00927D8D"/>
    <w:rsid w:val="00930133"/>
    <w:rsid w:val="0093152E"/>
    <w:rsid w:val="009461AF"/>
    <w:rsid w:val="00955BA9"/>
    <w:rsid w:val="0096136C"/>
    <w:rsid w:val="00965980"/>
    <w:rsid w:val="00966401"/>
    <w:rsid w:val="00970A31"/>
    <w:rsid w:val="00982427"/>
    <w:rsid w:val="00984DAB"/>
    <w:rsid w:val="009853B6"/>
    <w:rsid w:val="009879C9"/>
    <w:rsid w:val="00987DA1"/>
    <w:rsid w:val="00996E05"/>
    <w:rsid w:val="009A1C27"/>
    <w:rsid w:val="009A2941"/>
    <w:rsid w:val="009A5F5D"/>
    <w:rsid w:val="009B438B"/>
    <w:rsid w:val="009B580C"/>
    <w:rsid w:val="009B7374"/>
    <w:rsid w:val="009C10FB"/>
    <w:rsid w:val="009C17EE"/>
    <w:rsid w:val="009C36FF"/>
    <w:rsid w:val="009C4F1A"/>
    <w:rsid w:val="009D060E"/>
    <w:rsid w:val="009D57BC"/>
    <w:rsid w:val="009E5902"/>
    <w:rsid w:val="009F004A"/>
    <w:rsid w:val="009F3FEE"/>
    <w:rsid w:val="009F46D5"/>
    <w:rsid w:val="009F5131"/>
    <w:rsid w:val="009F5C80"/>
    <w:rsid w:val="00A1324D"/>
    <w:rsid w:val="00A14682"/>
    <w:rsid w:val="00A151D9"/>
    <w:rsid w:val="00A1562D"/>
    <w:rsid w:val="00A15A2C"/>
    <w:rsid w:val="00A15DED"/>
    <w:rsid w:val="00A16DBB"/>
    <w:rsid w:val="00A172FA"/>
    <w:rsid w:val="00A17843"/>
    <w:rsid w:val="00A20F21"/>
    <w:rsid w:val="00A21F75"/>
    <w:rsid w:val="00A23336"/>
    <w:rsid w:val="00A26133"/>
    <w:rsid w:val="00A2736D"/>
    <w:rsid w:val="00A30119"/>
    <w:rsid w:val="00A332FA"/>
    <w:rsid w:val="00A33566"/>
    <w:rsid w:val="00A34599"/>
    <w:rsid w:val="00A371CA"/>
    <w:rsid w:val="00A378D6"/>
    <w:rsid w:val="00A4027B"/>
    <w:rsid w:val="00A41EE2"/>
    <w:rsid w:val="00A52C05"/>
    <w:rsid w:val="00A535B7"/>
    <w:rsid w:val="00A54BB8"/>
    <w:rsid w:val="00A60E80"/>
    <w:rsid w:val="00A60FAE"/>
    <w:rsid w:val="00A628A1"/>
    <w:rsid w:val="00A62E05"/>
    <w:rsid w:val="00A64DD1"/>
    <w:rsid w:val="00A657FF"/>
    <w:rsid w:val="00A67AF7"/>
    <w:rsid w:val="00A8436B"/>
    <w:rsid w:val="00A85CDA"/>
    <w:rsid w:val="00A9110C"/>
    <w:rsid w:val="00A9627B"/>
    <w:rsid w:val="00AA03E6"/>
    <w:rsid w:val="00AA59EE"/>
    <w:rsid w:val="00AB049E"/>
    <w:rsid w:val="00AB5A7E"/>
    <w:rsid w:val="00AD1721"/>
    <w:rsid w:val="00AD2785"/>
    <w:rsid w:val="00AD43B5"/>
    <w:rsid w:val="00AD790C"/>
    <w:rsid w:val="00AE4129"/>
    <w:rsid w:val="00AE4E66"/>
    <w:rsid w:val="00AF2432"/>
    <w:rsid w:val="00AF3F24"/>
    <w:rsid w:val="00AF4DDA"/>
    <w:rsid w:val="00B00C6C"/>
    <w:rsid w:val="00B024A3"/>
    <w:rsid w:val="00B02662"/>
    <w:rsid w:val="00B0728F"/>
    <w:rsid w:val="00B111AE"/>
    <w:rsid w:val="00B118AA"/>
    <w:rsid w:val="00B246FC"/>
    <w:rsid w:val="00B25BF0"/>
    <w:rsid w:val="00B34720"/>
    <w:rsid w:val="00B37373"/>
    <w:rsid w:val="00B43C21"/>
    <w:rsid w:val="00B51BA8"/>
    <w:rsid w:val="00B527A4"/>
    <w:rsid w:val="00B543AA"/>
    <w:rsid w:val="00B62666"/>
    <w:rsid w:val="00B63C7F"/>
    <w:rsid w:val="00B72CD7"/>
    <w:rsid w:val="00B73049"/>
    <w:rsid w:val="00B8283F"/>
    <w:rsid w:val="00B95296"/>
    <w:rsid w:val="00B953DE"/>
    <w:rsid w:val="00BA4761"/>
    <w:rsid w:val="00BB2E5F"/>
    <w:rsid w:val="00BB4D08"/>
    <w:rsid w:val="00BB6D2F"/>
    <w:rsid w:val="00BC1254"/>
    <w:rsid w:val="00BC2523"/>
    <w:rsid w:val="00BC2C5D"/>
    <w:rsid w:val="00BC4AB5"/>
    <w:rsid w:val="00BE17A3"/>
    <w:rsid w:val="00BE1DC3"/>
    <w:rsid w:val="00BE5A21"/>
    <w:rsid w:val="00BE62E2"/>
    <w:rsid w:val="00BE6961"/>
    <w:rsid w:val="00BE716A"/>
    <w:rsid w:val="00BE756E"/>
    <w:rsid w:val="00BE7715"/>
    <w:rsid w:val="00BF03BE"/>
    <w:rsid w:val="00BF0FFE"/>
    <w:rsid w:val="00BF1BCB"/>
    <w:rsid w:val="00BF65CD"/>
    <w:rsid w:val="00BF6F9D"/>
    <w:rsid w:val="00C03139"/>
    <w:rsid w:val="00C04DC4"/>
    <w:rsid w:val="00C1147A"/>
    <w:rsid w:val="00C14AD4"/>
    <w:rsid w:val="00C14E48"/>
    <w:rsid w:val="00C16734"/>
    <w:rsid w:val="00C17A06"/>
    <w:rsid w:val="00C17C27"/>
    <w:rsid w:val="00C23D92"/>
    <w:rsid w:val="00C26B10"/>
    <w:rsid w:val="00C32247"/>
    <w:rsid w:val="00C35372"/>
    <w:rsid w:val="00C36FE2"/>
    <w:rsid w:val="00C428BD"/>
    <w:rsid w:val="00C465C5"/>
    <w:rsid w:val="00C46BB5"/>
    <w:rsid w:val="00C47EFE"/>
    <w:rsid w:val="00C50281"/>
    <w:rsid w:val="00C50B8A"/>
    <w:rsid w:val="00C517E0"/>
    <w:rsid w:val="00C51977"/>
    <w:rsid w:val="00C533A8"/>
    <w:rsid w:val="00C54767"/>
    <w:rsid w:val="00C54C6E"/>
    <w:rsid w:val="00C63A6E"/>
    <w:rsid w:val="00C63AE1"/>
    <w:rsid w:val="00C64742"/>
    <w:rsid w:val="00C6741E"/>
    <w:rsid w:val="00C67582"/>
    <w:rsid w:val="00C703B3"/>
    <w:rsid w:val="00C721B4"/>
    <w:rsid w:val="00C7241F"/>
    <w:rsid w:val="00C733B1"/>
    <w:rsid w:val="00C73C1A"/>
    <w:rsid w:val="00C75F0F"/>
    <w:rsid w:val="00C75F25"/>
    <w:rsid w:val="00C77E42"/>
    <w:rsid w:val="00C81237"/>
    <w:rsid w:val="00C8368E"/>
    <w:rsid w:val="00C8658E"/>
    <w:rsid w:val="00C87116"/>
    <w:rsid w:val="00C87552"/>
    <w:rsid w:val="00C87940"/>
    <w:rsid w:val="00C87BBB"/>
    <w:rsid w:val="00C906FC"/>
    <w:rsid w:val="00C93DC0"/>
    <w:rsid w:val="00C95013"/>
    <w:rsid w:val="00CA36BF"/>
    <w:rsid w:val="00CA42EF"/>
    <w:rsid w:val="00CA6B50"/>
    <w:rsid w:val="00CB0342"/>
    <w:rsid w:val="00CB2D88"/>
    <w:rsid w:val="00CB4B4E"/>
    <w:rsid w:val="00CC0631"/>
    <w:rsid w:val="00CC72BF"/>
    <w:rsid w:val="00CC7394"/>
    <w:rsid w:val="00CD150A"/>
    <w:rsid w:val="00CD160C"/>
    <w:rsid w:val="00CD766C"/>
    <w:rsid w:val="00CE2149"/>
    <w:rsid w:val="00CE2A74"/>
    <w:rsid w:val="00CE5458"/>
    <w:rsid w:val="00CE6614"/>
    <w:rsid w:val="00CF42A6"/>
    <w:rsid w:val="00CF4695"/>
    <w:rsid w:val="00D01B4F"/>
    <w:rsid w:val="00D0310C"/>
    <w:rsid w:val="00D05886"/>
    <w:rsid w:val="00D06B48"/>
    <w:rsid w:val="00D07E48"/>
    <w:rsid w:val="00D1503F"/>
    <w:rsid w:val="00D22EA1"/>
    <w:rsid w:val="00D269F8"/>
    <w:rsid w:val="00D3045F"/>
    <w:rsid w:val="00D46233"/>
    <w:rsid w:val="00D52AB8"/>
    <w:rsid w:val="00D713A4"/>
    <w:rsid w:val="00D72188"/>
    <w:rsid w:val="00D82D74"/>
    <w:rsid w:val="00D840D9"/>
    <w:rsid w:val="00D86A21"/>
    <w:rsid w:val="00D87916"/>
    <w:rsid w:val="00D928E8"/>
    <w:rsid w:val="00D943C5"/>
    <w:rsid w:val="00D968FB"/>
    <w:rsid w:val="00D97DDE"/>
    <w:rsid w:val="00DA13EB"/>
    <w:rsid w:val="00DA2CB1"/>
    <w:rsid w:val="00DA70A3"/>
    <w:rsid w:val="00DA7B60"/>
    <w:rsid w:val="00DB26FD"/>
    <w:rsid w:val="00DB67C5"/>
    <w:rsid w:val="00DC3809"/>
    <w:rsid w:val="00DD03C8"/>
    <w:rsid w:val="00DD21EB"/>
    <w:rsid w:val="00DD7B7F"/>
    <w:rsid w:val="00DE290B"/>
    <w:rsid w:val="00DE6B9A"/>
    <w:rsid w:val="00DE7A02"/>
    <w:rsid w:val="00DE7F3E"/>
    <w:rsid w:val="00DF4926"/>
    <w:rsid w:val="00DF4CB1"/>
    <w:rsid w:val="00E009AE"/>
    <w:rsid w:val="00E00F7B"/>
    <w:rsid w:val="00E03435"/>
    <w:rsid w:val="00E06FE4"/>
    <w:rsid w:val="00E1048B"/>
    <w:rsid w:val="00E11807"/>
    <w:rsid w:val="00E154C0"/>
    <w:rsid w:val="00E1674F"/>
    <w:rsid w:val="00E2069F"/>
    <w:rsid w:val="00E209EB"/>
    <w:rsid w:val="00E25FCA"/>
    <w:rsid w:val="00E328BA"/>
    <w:rsid w:val="00E35C07"/>
    <w:rsid w:val="00E466AD"/>
    <w:rsid w:val="00E46A74"/>
    <w:rsid w:val="00E5097C"/>
    <w:rsid w:val="00E55CB1"/>
    <w:rsid w:val="00E55E21"/>
    <w:rsid w:val="00E56CC0"/>
    <w:rsid w:val="00E56D67"/>
    <w:rsid w:val="00E57199"/>
    <w:rsid w:val="00E63DCA"/>
    <w:rsid w:val="00E651E5"/>
    <w:rsid w:val="00E67544"/>
    <w:rsid w:val="00E67A14"/>
    <w:rsid w:val="00E67BA0"/>
    <w:rsid w:val="00E72102"/>
    <w:rsid w:val="00E7478F"/>
    <w:rsid w:val="00E747AA"/>
    <w:rsid w:val="00E74F2D"/>
    <w:rsid w:val="00E81502"/>
    <w:rsid w:val="00E861A9"/>
    <w:rsid w:val="00E86674"/>
    <w:rsid w:val="00E879B5"/>
    <w:rsid w:val="00E9169C"/>
    <w:rsid w:val="00E93B58"/>
    <w:rsid w:val="00E97EB5"/>
    <w:rsid w:val="00EA011A"/>
    <w:rsid w:val="00EA04FD"/>
    <w:rsid w:val="00EA6211"/>
    <w:rsid w:val="00EA7C44"/>
    <w:rsid w:val="00EB0413"/>
    <w:rsid w:val="00EB27FF"/>
    <w:rsid w:val="00EC3BFD"/>
    <w:rsid w:val="00EC546A"/>
    <w:rsid w:val="00EC6B61"/>
    <w:rsid w:val="00ED4EB2"/>
    <w:rsid w:val="00ED5477"/>
    <w:rsid w:val="00EE2E95"/>
    <w:rsid w:val="00EF0B70"/>
    <w:rsid w:val="00EF150E"/>
    <w:rsid w:val="00EF171B"/>
    <w:rsid w:val="00EF33D7"/>
    <w:rsid w:val="00F001EB"/>
    <w:rsid w:val="00F109E9"/>
    <w:rsid w:val="00F118A2"/>
    <w:rsid w:val="00F13BF8"/>
    <w:rsid w:val="00F153BD"/>
    <w:rsid w:val="00F25336"/>
    <w:rsid w:val="00F27DB1"/>
    <w:rsid w:val="00F3272D"/>
    <w:rsid w:val="00F356A6"/>
    <w:rsid w:val="00F40185"/>
    <w:rsid w:val="00F43CDC"/>
    <w:rsid w:val="00F5361C"/>
    <w:rsid w:val="00F54856"/>
    <w:rsid w:val="00F60123"/>
    <w:rsid w:val="00F60846"/>
    <w:rsid w:val="00F63CAB"/>
    <w:rsid w:val="00F64027"/>
    <w:rsid w:val="00F64B36"/>
    <w:rsid w:val="00F85FFF"/>
    <w:rsid w:val="00F92128"/>
    <w:rsid w:val="00F92174"/>
    <w:rsid w:val="00F962E6"/>
    <w:rsid w:val="00F97652"/>
    <w:rsid w:val="00FA467B"/>
    <w:rsid w:val="00FA4C73"/>
    <w:rsid w:val="00FB3445"/>
    <w:rsid w:val="00FB3F91"/>
    <w:rsid w:val="00FB4A4E"/>
    <w:rsid w:val="00FC2DA7"/>
    <w:rsid w:val="00FC4391"/>
    <w:rsid w:val="00FC6A3C"/>
    <w:rsid w:val="00FC794B"/>
    <w:rsid w:val="00FD6F1C"/>
    <w:rsid w:val="00FE318D"/>
    <w:rsid w:val="00FE4F4C"/>
    <w:rsid w:val="00FF1637"/>
    <w:rsid w:val="00FF2DAB"/>
    <w:rsid w:val="00FF3337"/>
    <w:rsid w:val="00FF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A5C90"/>
  <w15:docId w15:val="{21BCCE24-9A8A-403B-BD41-02D43132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6CF"/>
    <w:pPr>
      <w:spacing w:after="160" w:line="259" w:lineRule="auto"/>
    </w:pPr>
    <w:rPr>
      <w:sz w:val="22"/>
      <w:szCs w:val="22"/>
    </w:rPr>
  </w:style>
  <w:style w:type="paragraph" w:styleId="Heading1">
    <w:name w:val="heading 1"/>
    <w:basedOn w:val="Normal"/>
    <w:link w:val="Heading1Char"/>
    <w:uiPriority w:val="9"/>
    <w:qFormat/>
    <w:rsid w:val="00F356A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E46A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46A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5FC4"/>
    <w:rPr>
      <w:color w:val="0563C1"/>
      <w:u w:val="single"/>
    </w:rPr>
  </w:style>
  <w:style w:type="character" w:customStyle="1" w:styleId="apple-converted-space">
    <w:name w:val="apple-converted-space"/>
    <w:rsid w:val="00505FC4"/>
  </w:style>
  <w:style w:type="character" w:customStyle="1" w:styleId="details">
    <w:name w:val="details"/>
    <w:rsid w:val="00505FC4"/>
  </w:style>
  <w:style w:type="paragraph" w:styleId="NormalWeb">
    <w:name w:val="Normal (Web)"/>
    <w:basedOn w:val="Normal"/>
    <w:uiPriority w:val="99"/>
    <w:unhideWhenUsed/>
    <w:rsid w:val="00505FC4"/>
    <w:pPr>
      <w:spacing w:before="100" w:beforeAutospacing="1" w:after="100" w:afterAutospacing="1" w:line="240" w:lineRule="auto"/>
    </w:pPr>
    <w:rPr>
      <w:rFonts w:ascii="Times New Roman" w:eastAsia="Times New Roman" w:hAnsi="Times New Roman"/>
      <w:sz w:val="24"/>
      <w:szCs w:val="24"/>
    </w:rPr>
  </w:style>
  <w:style w:type="character" w:customStyle="1" w:styleId="search-custom">
    <w:name w:val="search-custom"/>
    <w:rsid w:val="00505FC4"/>
  </w:style>
  <w:style w:type="character" w:styleId="FollowedHyperlink">
    <w:name w:val="FollowedHyperlink"/>
    <w:uiPriority w:val="99"/>
    <w:semiHidden/>
    <w:unhideWhenUsed/>
    <w:rsid w:val="00E81502"/>
    <w:rPr>
      <w:color w:val="954F72"/>
      <w:u w:val="single"/>
    </w:rPr>
  </w:style>
  <w:style w:type="character" w:styleId="Emphasis">
    <w:name w:val="Emphasis"/>
    <w:uiPriority w:val="20"/>
    <w:qFormat/>
    <w:rsid w:val="007609D0"/>
    <w:rPr>
      <w:i/>
      <w:iCs/>
    </w:rPr>
  </w:style>
  <w:style w:type="character" w:customStyle="1" w:styleId="more">
    <w:name w:val="more"/>
    <w:rsid w:val="007D00E3"/>
  </w:style>
  <w:style w:type="paragraph" w:customStyle="1" w:styleId="default">
    <w:name w:val="default"/>
    <w:basedOn w:val="Normal"/>
    <w:rsid w:val="007D00E3"/>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55BA9"/>
    <w:rPr>
      <w:b/>
      <w:bCs/>
    </w:rPr>
  </w:style>
  <w:style w:type="character" w:customStyle="1" w:styleId="small-label">
    <w:name w:val="small-label"/>
    <w:rsid w:val="00955BA9"/>
  </w:style>
  <w:style w:type="character" w:customStyle="1" w:styleId="fundingsubtitle">
    <w:name w:val="funding_sub_title"/>
    <w:rsid w:val="00955BA9"/>
  </w:style>
  <w:style w:type="character" w:customStyle="1" w:styleId="morenote">
    <w:name w:val="more_note"/>
    <w:rsid w:val="00955BA9"/>
  </w:style>
  <w:style w:type="paragraph" w:styleId="BalloonText">
    <w:name w:val="Balloon Text"/>
    <w:basedOn w:val="Normal"/>
    <w:link w:val="BalloonTextChar"/>
    <w:uiPriority w:val="99"/>
    <w:semiHidden/>
    <w:unhideWhenUsed/>
    <w:rsid w:val="00E861A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861A9"/>
    <w:rPr>
      <w:rFonts w:ascii="Segoe UI" w:hAnsi="Segoe UI" w:cs="Segoe UI"/>
      <w:sz w:val="18"/>
      <w:szCs w:val="18"/>
    </w:rPr>
  </w:style>
  <w:style w:type="character" w:customStyle="1" w:styleId="Heading1Char">
    <w:name w:val="Heading 1 Char"/>
    <w:link w:val="Heading1"/>
    <w:uiPriority w:val="9"/>
    <w:rsid w:val="00F356A6"/>
    <w:rPr>
      <w:rFonts w:ascii="Times New Roman" w:eastAsia="Times New Roman" w:hAnsi="Times New Roman"/>
      <w:b/>
      <w:bCs/>
      <w:kern w:val="36"/>
      <w:sz w:val="48"/>
      <w:szCs w:val="48"/>
    </w:rPr>
  </w:style>
  <w:style w:type="paragraph" w:customStyle="1" w:styleId="duedatefsirst">
    <w:name w:val="due_date_fsirst"/>
    <w:basedOn w:val="Normal"/>
    <w:rsid w:val="00FF5FC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9FA"/>
    <w:pPr>
      <w:ind w:left="720"/>
      <w:contextualSpacing/>
    </w:pPr>
  </w:style>
  <w:style w:type="character" w:customStyle="1" w:styleId="Title1">
    <w:name w:val="Title1"/>
    <w:basedOn w:val="DefaultParagraphFont"/>
    <w:rsid w:val="006C6066"/>
  </w:style>
  <w:style w:type="character" w:customStyle="1" w:styleId="Heading2Char">
    <w:name w:val="Heading 2 Char"/>
    <w:basedOn w:val="DefaultParagraphFont"/>
    <w:link w:val="Heading2"/>
    <w:uiPriority w:val="9"/>
    <w:rsid w:val="00E46A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46A74"/>
    <w:rPr>
      <w:rFonts w:asciiTheme="majorHAnsi" w:eastAsiaTheme="majorEastAsia" w:hAnsiTheme="majorHAnsi" w:cstheme="majorBidi"/>
      <w:color w:val="1F4D78" w:themeColor="accent1" w:themeShade="7F"/>
      <w:sz w:val="24"/>
      <w:szCs w:val="24"/>
    </w:rPr>
  </w:style>
  <w:style w:type="character" w:customStyle="1" w:styleId="l-labelpretext1">
    <w:name w:val="l-label__pretext1"/>
    <w:basedOn w:val="DefaultParagraphFont"/>
    <w:rsid w:val="007346FC"/>
  </w:style>
  <w:style w:type="character" w:customStyle="1" w:styleId="Title2">
    <w:name w:val="Title2"/>
    <w:basedOn w:val="DefaultParagraphFont"/>
    <w:rsid w:val="00A4027B"/>
  </w:style>
  <w:style w:type="character" w:customStyle="1" w:styleId="navtext1">
    <w:name w:val="navtext1"/>
    <w:basedOn w:val="DefaultParagraphFont"/>
    <w:rsid w:val="0016150D"/>
    <w:rPr>
      <w:rFonts w:ascii="Verdana" w:hAnsi="Verdana" w:hint="default"/>
      <w:b w:val="0"/>
      <w:bCs w:val="0"/>
      <w:color w:val="000000"/>
    </w:rPr>
  </w:style>
  <w:style w:type="paragraph" w:customStyle="1" w:styleId="text--small">
    <w:name w:val="text--small"/>
    <w:basedOn w:val="Normal"/>
    <w:uiPriority w:val="99"/>
    <w:rsid w:val="00FC2DA7"/>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basedOn w:val="Normal"/>
    <w:rsid w:val="007C7B2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3392">
      <w:bodyDiv w:val="1"/>
      <w:marLeft w:val="0"/>
      <w:marRight w:val="0"/>
      <w:marTop w:val="0"/>
      <w:marBottom w:val="0"/>
      <w:divBdr>
        <w:top w:val="none" w:sz="0" w:space="0" w:color="auto"/>
        <w:left w:val="none" w:sz="0" w:space="0" w:color="auto"/>
        <w:bottom w:val="none" w:sz="0" w:space="0" w:color="auto"/>
        <w:right w:val="none" w:sz="0" w:space="0" w:color="auto"/>
      </w:divBdr>
    </w:div>
    <w:div w:id="171840716">
      <w:bodyDiv w:val="1"/>
      <w:marLeft w:val="0"/>
      <w:marRight w:val="0"/>
      <w:marTop w:val="0"/>
      <w:marBottom w:val="0"/>
      <w:divBdr>
        <w:top w:val="none" w:sz="0" w:space="0" w:color="auto"/>
        <w:left w:val="none" w:sz="0" w:space="0" w:color="auto"/>
        <w:bottom w:val="none" w:sz="0" w:space="0" w:color="auto"/>
        <w:right w:val="none" w:sz="0" w:space="0" w:color="auto"/>
      </w:divBdr>
    </w:div>
    <w:div w:id="210381876">
      <w:bodyDiv w:val="1"/>
      <w:marLeft w:val="0"/>
      <w:marRight w:val="0"/>
      <w:marTop w:val="0"/>
      <w:marBottom w:val="0"/>
      <w:divBdr>
        <w:top w:val="none" w:sz="0" w:space="0" w:color="auto"/>
        <w:left w:val="none" w:sz="0" w:space="0" w:color="auto"/>
        <w:bottom w:val="none" w:sz="0" w:space="0" w:color="auto"/>
        <w:right w:val="none" w:sz="0" w:space="0" w:color="auto"/>
      </w:divBdr>
    </w:div>
    <w:div w:id="219946913">
      <w:bodyDiv w:val="1"/>
      <w:marLeft w:val="0"/>
      <w:marRight w:val="0"/>
      <w:marTop w:val="0"/>
      <w:marBottom w:val="0"/>
      <w:divBdr>
        <w:top w:val="none" w:sz="0" w:space="0" w:color="auto"/>
        <w:left w:val="none" w:sz="0" w:space="0" w:color="auto"/>
        <w:bottom w:val="none" w:sz="0" w:space="0" w:color="auto"/>
        <w:right w:val="none" w:sz="0" w:space="0" w:color="auto"/>
      </w:divBdr>
    </w:div>
    <w:div w:id="254705534">
      <w:bodyDiv w:val="1"/>
      <w:marLeft w:val="0"/>
      <w:marRight w:val="0"/>
      <w:marTop w:val="0"/>
      <w:marBottom w:val="0"/>
      <w:divBdr>
        <w:top w:val="none" w:sz="0" w:space="0" w:color="auto"/>
        <w:left w:val="none" w:sz="0" w:space="0" w:color="auto"/>
        <w:bottom w:val="none" w:sz="0" w:space="0" w:color="auto"/>
        <w:right w:val="none" w:sz="0" w:space="0" w:color="auto"/>
      </w:divBdr>
    </w:div>
    <w:div w:id="289479908">
      <w:bodyDiv w:val="1"/>
      <w:marLeft w:val="0"/>
      <w:marRight w:val="0"/>
      <w:marTop w:val="0"/>
      <w:marBottom w:val="0"/>
      <w:divBdr>
        <w:top w:val="none" w:sz="0" w:space="0" w:color="auto"/>
        <w:left w:val="none" w:sz="0" w:space="0" w:color="auto"/>
        <w:bottom w:val="none" w:sz="0" w:space="0" w:color="auto"/>
        <w:right w:val="none" w:sz="0" w:space="0" w:color="auto"/>
      </w:divBdr>
    </w:div>
    <w:div w:id="300429326">
      <w:bodyDiv w:val="1"/>
      <w:marLeft w:val="0"/>
      <w:marRight w:val="0"/>
      <w:marTop w:val="0"/>
      <w:marBottom w:val="0"/>
      <w:divBdr>
        <w:top w:val="none" w:sz="0" w:space="0" w:color="auto"/>
        <w:left w:val="none" w:sz="0" w:space="0" w:color="auto"/>
        <w:bottom w:val="none" w:sz="0" w:space="0" w:color="auto"/>
        <w:right w:val="none" w:sz="0" w:space="0" w:color="auto"/>
      </w:divBdr>
    </w:div>
    <w:div w:id="373234966">
      <w:bodyDiv w:val="1"/>
      <w:marLeft w:val="0"/>
      <w:marRight w:val="0"/>
      <w:marTop w:val="0"/>
      <w:marBottom w:val="0"/>
      <w:divBdr>
        <w:top w:val="none" w:sz="0" w:space="0" w:color="auto"/>
        <w:left w:val="none" w:sz="0" w:space="0" w:color="auto"/>
        <w:bottom w:val="none" w:sz="0" w:space="0" w:color="auto"/>
        <w:right w:val="none" w:sz="0" w:space="0" w:color="auto"/>
      </w:divBdr>
    </w:div>
    <w:div w:id="400837471">
      <w:bodyDiv w:val="1"/>
      <w:marLeft w:val="0"/>
      <w:marRight w:val="0"/>
      <w:marTop w:val="0"/>
      <w:marBottom w:val="0"/>
      <w:divBdr>
        <w:top w:val="none" w:sz="0" w:space="0" w:color="auto"/>
        <w:left w:val="none" w:sz="0" w:space="0" w:color="auto"/>
        <w:bottom w:val="none" w:sz="0" w:space="0" w:color="auto"/>
        <w:right w:val="none" w:sz="0" w:space="0" w:color="auto"/>
      </w:divBdr>
    </w:div>
    <w:div w:id="428894388">
      <w:bodyDiv w:val="1"/>
      <w:marLeft w:val="0"/>
      <w:marRight w:val="0"/>
      <w:marTop w:val="0"/>
      <w:marBottom w:val="0"/>
      <w:divBdr>
        <w:top w:val="none" w:sz="0" w:space="0" w:color="auto"/>
        <w:left w:val="none" w:sz="0" w:space="0" w:color="auto"/>
        <w:bottom w:val="none" w:sz="0" w:space="0" w:color="auto"/>
        <w:right w:val="none" w:sz="0" w:space="0" w:color="auto"/>
      </w:divBdr>
    </w:div>
    <w:div w:id="432239940">
      <w:bodyDiv w:val="1"/>
      <w:marLeft w:val="0"/>
      <w:marRight w:val="0"/>
      <w:marTop w:val="0"/>
      <w:marBottom w:val="0"/>
      <w:divBdr>
        <w:top w:val="none" w:sz="0" w:space="0" w:color="auto"/>
        <w:left w:val="none" w:sz="0" w:space="0" w:color="auto"/>
        <w:bottom w:val="none" w:sz="0" w:space="0" w:color="auto"/>
        <w:right w:val="none" w:sz="0" w:space="0" w:color="auto"/>
      </w:divBdr>
    </w:div>
    <w:div w:id="517349778">
      <w:bodyDiv w:val="1"/>
      <w:marLeft w:val="0"/>
      <w:marRight w:val="0"/>
      <w:marTop w:val="0"/>
      <w:marBottom w:val="0"/>
      <w:divBdr>
        <w:top w:val="none" w:sz="0" w:space="0" w:color="auto"/>
        <w:left w:val="none" w:sz="0" w:space="0" w:color="auto"/>
        <w:bottom w:val="none" w:sz="0" w:space="0" w:color="auto"/>
        <w:right w:val="none" w:sz="0" w:space="0" w:color="auto"/>
      </w:divBdr>
    </w:div>
    <w:div w:id="527065330">
      <w:bodyDiv w:val="1"/>
      <w:marLeft w:val="0"/>
      <w:marRight w:val="0"/>
      <w:marTop w:val="0"/>
      <w:marBottom w:val="0"/>
      <w:divBdr>
        <w:top w:val="none" w:sz="0" w:space="0" w:color="auto"/>
        <w:left w:val="none" w:sz="0" w:space="0" w:color="auto"/>
        <w:bottom w:val="none" w:sz="0" w:space="0" w:color="auto"/>
        <w:right w:val="none" w:sz="0" w:space="0" w:color="auto"/>
      </w:divBdr>
    </w:div>
    <w:div w:id="705525897">
      <w:bodyDiv w:val="1"/>
      <w:marLeft w:val="0"/>
      <w:marRight w:val="0"/>
      <w:marTop w:val="0"/>
      <w:marBottom w:val="0"/>
      <w:divBdr>
        <w:top w:val="none" w:sz="0" w:space="0" w:color="auto"/>
        <w:left w:val="none" w:sz="0" w:space="0" w:color="auto"/>
        <w:bottom w:val="none" w:sz="0" w:space="0" w:color="auto"/>
        <w:right w:val="none" w:sz="0" w:space="0" w:color="auto"/>
      </w:divBdr>
    </w:div>
    <w:div w:id="966205957">
      <w:bodyDiv w:val="1"/>
      <w:marLeft w:val="0"/>
      <w:marRight w:val="0"/>
      <w:marTop w:val="0"/>
      <w:marBottom w:val="0"/>
      <w:divBdr>
        <w:top w:val="none" w:sz="0" w:space="0" w:color="auto"/>
        <w:left w:val="none" w:sz="0" w:space="0" w:color="auto"/>
        <w:bottom w:val="none" w:sz="0" w:space="0" w:color="auto"/>
        <w:right w:val="none" w:sz="0" w:space="0" w:color="auto"/>
      </w:divBdr>
    </w:div>
    <w:div w:id="1016348844">
      <w:bodyDiv w:val="1"/>
      <w:marLeft w:val="0"/>
      <w:marRight w:val="0"/>
      <w:marTop w:val="0"/>
      <w:marBottom w:val="0"/>
      <w:divBdr>
        <w:top w:val="none" w:sz="0" w:space="0" w:color="auto"/>
        <w:left w:val="none" w:sz="0" w:space="0" w:color="auto"/>
        <w:bottom w:val="none" w:sz="0" w:space="0" w:color="auto"/>
        <w:right w:val="none" w:sz="0" w:space="0" w:color="auto"/>
      </w:divBdr>
    </w:div>
    <w:div w:id="1041054467">
      <w:bodyDiv w:val="1"/>
      <w:marLeft w:val="0"/>
      <w:marRight w:val="0"/>
      <w:marTop w:val="0"/>
      <w:marBottom w:val="0"/>
      <w:divBdr>
        <w:top w:val="none" w:sz="0" w:space="0" w:color="auto"/>
        <w:left w:val="none" w:sz="0" w:space="0" w:color="auto"/>
        <w:bottom w:val="none" w:sz="0" w:space="0" w:color="auto"/>
        <w:right w:val="none" w:sz="0" w:space="0" w:color="auto"/>
      </w:divBdr>
    </w:div>
    <w:div w:id="1107310157">
      <w:bodyDiv w:val="1"/>
      <w:marLeft w:val="0"/>
      <w:marRight w:val="0"/>
      <w:marTop w:val="0"/>
      <w:marBottom w:val="0"/>
      <w:divBdr>
        <w:top w:val="none" w:sz="0" w:space="0" w:color="auto"/>
        <w:left w:val="none" w:sz="0" w:space="0" w:color="auto"/>
        <w:bottom w:val="none" w:sz="0" w:space="0" w:color="auto"/>
        <w:right w:val="none" w:sz="0" w:space="0" w:color="auto"/>
      </w:divBdr>
    </w:div>
    <w:div w:id="1161460320">
      <w:bodyDiv w:val="1"/>
      <w:marLeft w:val="0"/>
      <w:marRight w:val="0"/>
      <w:marTop w:val="0"/>
      <w:marBottom w:val="0"/>
      <w:divBdr>
        <w:top w:val="none" w:sz="0" w:space="0" w:color="auto"/>
        <w:left w:val="none" w:sz="0" w:space="0" w:color="auto"/>
        <w:bottom w:val="none" w:sz="0" w:space="0" w:color="auto"/>
        <w:right w:val="none" w:sz="0" w:space="0" w:color="auto"/>
      </w:divBdr>
    </w:div>
    <w:div w:id="1352026410">
      <w:bodyDiv w:val="1"/>
      <w:marLeft w:val="0"/>
      <w:marRight w:val="0"/>
      <w:marTop w:val="0"/>
      <w:marBottom w:val="0"/>
      <w:divBdr>
        <w:top w:val="none" w:sz="0" w:space="0" w:color="auto"/>
        <w:left w:val="none" w:sz="0" w:space="0" w:color="auto"/>
        <w:bottom w:val="none" w:sz="0" w:space="0" w:color="auto"/>
        <w:right w:val="none" w:sz="0" w:space="0" w:color="auto"/>
      </w:divBdr>
    </w:div>
    <w:div w:id="1451433813">
      <w:bodyDiv w:val="1"/>
      <w:marLeft w:val="0"/>
      <w:marRight w:val="0"/>
      <w:marTop w:val="0"/>
      <w:marBottom w:val="0"/>
      <w:divBdr>
        <w:top w:val="none" w:sz="0" w:space="0" w:color="auto"/>
        <w:left w:val="none" w:sz="0" w:space="0" w:color="auto"/>
        <w:bottom w:val="none" w:sz="0" w:space="0" w:color="auto"/>
        <w:right w:val="none" w:sz="0" w:space="0" w:color="auto"/>
      </w:divBdr>
    </w:div>
    <w:div w:id="1525051034">
      <w:bodyDiv w:val="1"/>
      <w:marLeft w:val="0"/>
      <w:marRight w:val="0"/>
      <w:marTop w:val="0"/>
      <w:marBottom w:val="0"/>
      <w:divBdr>
        <w:top w:val="none" w:sz="0" w:space="0" w:color="auto"/>
        <w:left w:val="none" w:sz="0" w:space="0" w:color="auto"/>
        <w:bottom w:val="none" w:sz="0" w:space="0" w:color="auto"/>
        <w:right w:val="none" w:sz="0" w:space="0" w:color="auto"/>
      </w:divBdr>
    </w:div>
    <w:div w:id="1534876803">
      <w:bodyDiv w:val="1"/>
      <w:marLeft w:val="0"/>
      <w:marRight w:val="0"/>
      <w:marTop w:val="0"/>
      <w:marBottom w:val="0"/>
      <w:divBdr>
        <w:top w:val="none" w:sz="0" w:space="0" w:color="auto"/>
        <w:left w:val="none" w:sz="0" w:space="0" w:color="auto"/>
        <w:bottom w:val="none" w:sz="0" w:space="0" w:color="auto"/>
        <w:right w:val="none" w:sz="0" w:space="0" w:color="auto"/>
      </w:divBdr>
    </w:div>
    <w:div w:id="1596547872">
      <w:bodyDiv w:val="1"/>
      <w:marLeft w:val="0"/>
      <w:marRight w:val="0"/>
      <w:marTop w:val="0"/>
      <w:marBottom w:val="0"/>
      <w:divBdr>
        <w:top w:val="none" w:sz="0" w:space="0" w:color="auto"/>
        <w:left w:val="none" w:sz="0" w:space="0" w:color="auto"/>
        <w:bottom w:val="none" w:sz="0" w:space="0" w:color="auto"/>
        <w:right w:val="none" w:sz="0" w:space="0" w:color="auto"/>
      </w:divBdr>
    </w:div>
    <w:div w:id="1776362908">
      <w:bodyDiv w:val="1"/>
      <w:marLeft w:val="0"/>
      <w:marRight w:val="0"/>
      <w:marTop w:val="0"/>
      <w:marBottom w:val="0"/>
      <w:divBdr>
        <w:top w:val="none" w:sz="0" w:space="0" w:color="auto"/>
        <w:left w:val="none" w:sz="0" w:space="0" w:color="auto"/>
        <w:bottom w:val="none" w:sz="0" w:space="0" w:color="auto"/>
        <w:right w:val="none" w:sz="0" w:space="0" w:color="auto"/>
      </w:divBdr>
      <w:divsChild>
        <w:div w:id="865295744">
          <w:marLeft w:val="0"/>
          <w:marRight w:val="0"/>
          <w:marTop w:val="0"/>
          <w:marBottom w:val="0"/>
          <w:divBdr>
            <w:top w:val="none" w:sz="0" w:space="0" w:color="auto"/>
            <w:left w:val="none" w:sz="0" w:space="0" w:color="auto"/>
            <w:bottom w:val="none" w:sz="0" w:space="0" w:color="auto"/>
            <w:right w:val="none" w:sz="0" w:space="0" w:color="auto"/>
          </w:divBdr>
        </w:div>
      </w:divsChild>
    </w:div>
    <w:div w:id="1811557214">
      <w:bodyDiv w:val="1"/>
      <w:marLeft w:val="0"/>
      <w:marRight w:val="0"/>
      <w:marTop w:val="0"/>
      <w:marBottom w:val="0"/>
      <w:divBdr>
        <w:top w:val="none" w:sz="0" w:space="0" w:color="auto"/>
        <w:left w:val="none" w:sz="0" w:space="0" w:color="auto"/>
        <w:bottom w:val="none" w:sz="0" w:space="0" w:color="auto"/>
        <w:right w:val="none" w:sz="0" w:space="0" w:color="auto"/>
      </w:divBdr>
    </w:div>
    <w:div w:id="1919902451">
      <w:bodyDiv w:val="1"/>
      <w:marLeft w:val="0"/>
      <w:marRight w:val="0"/>
      <w:marTop w:val="0"/>
      <w:marBottom w:val="0"/>
      <w:divBdr>
        <w:top w:val="none" w:sz="0" w:space="0" w:color="auto"/>
        <w:left w:val="none" w:sz="0" w:space="0" w:color="auto"/>
        <w:bottom w:val="none" w:sz="0" w:space="0" w:color="auto"/>
        <w:right w:val="none" w:sz="0" w:space="0" w:color="auto"/>
      </w:divBdr>
    </w:div>
    <w:div w:id="1976057917">
      <w:bodyDiv w:val="1"/>
      <w:marLeft w:val="0"/>
      <w:marRight w:val="0"/>
      <w:marTop w:val="0"/>
      <w:marBottom w:val="0"/>
      <w:divBdr>
        <w:top w:val="none" w:sz="0" w:space="0" w:color="auto"/>
        <w:left w:val="none" w:sz="0" w:space="0" w:color="auto"/>
        <w:bottom w:val="none" w:sz="0" w:space="0" w:color="auto"/>
        <w:right w:val="none" w:sz="0" w:space="0" w:color="auto"/>
      </w:divBdr>
    </w:div>
    <w:div w:id="2000619649">
      <w:bodyDiv w:val="1"/>
      <w:marLeft w:val="0"/>
      <w:marRight w:val="0"/>
      <w:marTop w:val="0"/>
      <w:marBottom w:val="0"/>
      <w:divBdr>
        <w:top w:val="none" w:sz="0" w:space="0" w:color="auto"/>
        <w:left w:val="none" w:sz="0" w:space="0" w:color="auto"/>
        <w:bottom w:val="none" w:sz="0" w:space="0" w:color="auto"/>
        <w:right w:val="none" w:sz="0" w:space="0" w:color="auto"/>
      </w:divBdr>
    </w:div>
    <w:div w:id="2024428237">
      <w:bodyDiv w:val="1"/>
      <w:marLeft w:val="0"/>
      <w:marRight w:val="0"/>
      <w:marTop w:val="0"/>
      <w:marBottom w:val="0"/>
      <w:divBdr>
        <w:top w:val="none" w:sz="0" w:space="0" w:color="auto"/>
        <w:left w:val="none" w:sz="0" w:space="0" w:color="auto"/>
        <w:bottom w:val="none" w:sz="0" w:space="0" w:color="auto"/>
        <w:right w:val="none" w:sz="0" w:space="0" w:color="auto"/>
      </w:divBdr>
    </w:div>
    <w:div w:id="20701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hrsa.gov/about/strategic-plan/goal-2.html" TargetMode="External"/><Relationship Id="rId18" Type="http://schemas.openxmlformats.org/officeDocument/2006/relationships/hyperlink" Target="https://bphc.hrsa.gov/" TargetMode="External"/><Relationship Id="rId26" Type="http://schemas.openxmlformats.org/officeDocument/2006/relationships/hyperlink" Target="http://www.grants.gov/web/grants/home.html" TargetMode="External"/><Relationship Id="rId39" Type="http://schemas.openxmlformats.org/officeDocument/2006/relationships/hyperlink" Target="http://www.wpunj.edu/osp/workshops.dot" TargetMode="External"/><Relationship Id="rId3" Type="http://schemas.openxmlformats.org/officeDocument/2006/relationships/styles" Target="styles.xml"/><Relationship Id="rId21" Type="http://schemas.openxmlformats.org/officeDocument/2006/relationships/hyperlink" Target="https://mchb.hrsa.gov/about-maternal-and-child-health-bureau-mchb" TargetMode="External"/><Relationship Id="rId34" Type="http://schemas.openxmlformats.org/officeDocument/2006/relationships/hyperlink" Target="https://www.nsf.gov/funding/pgm_summ.jsp?pims_id=503634" TargetMode="External"/><Relationship Id="rId42" Type="http://schemas.openxmlformats.org/officeDocument/2006/relationships/hyperlink" Target="http://www.wpunj.edu/osp/narratives-and-budgets.dot" TargetMode="External"/><Relationship Id="rId7" Type="http://schemas.openxmlformats.org/officeDocument/2006/relationships/endnotes" Target="endnotes.xml"/><Relationship Id="rId12" Type="http://schemas.openxmlformats.org/officeDocument/2006/relationships/hyperlink" Target="https://www.hrsa.gov/about/strategic-plan/goal-1.html" TargetMode="External"/><Relationship Id="rId17" Type="http://schemas.openxmlformats.org/officeDocument/2006/relationships/hyperlink" Target="https://bhw.hrsa.gov/" TargetMode="External"/><Relationship Id="rId25" Type="http://schemas.openxmlformats.org/officeDocument/2006/relationships/hyperlink" Target="http://www.aascu.org/grc/gs/" TargetMode="External"/><Relationship Id="rId33" Type="http://schemas.openxmlformats.org/officeDocument/2006/relationships/hyperlink" Target="https://grants.nih.gov/grants/guide/pa-files/PA-16-167.html" TargetMode="External"/><Relationship Id="rId38" Type="http://schemas.openxmlformats.org/officeDocument/2006/relationships/hyperlink" Target="https://www.historians.org/awards-and-grants/grants-and-fellowships" TargetMode="External"/><Relationship Id="rId2" Type="http://schemas.openxmlformats.org/officeDocument/2006/relationships/numbering" Target="numbering.xml"/><Relationship Id="rId16" Type="http://schemas.openxmlformats.org/officeDocument/2006/relationships/hyperlink" Target="https://www.hrsa.gov/about/strategic-plan/goal-5.html" TargetMode="External"/><Relationship Id="rId20" Type="http://schemas.openxmlformats.org/officeDocument/2006/relationships/hyperlink" Target="https://hab.hrsa.gov/" TargetMode="External"/><Relationship Id="rId29" Type="http://schemas.openxmlformats.org/officeDocument/2006/relationships/hyperlink" Target="https://grants.nih.gov/grants/guide/rfa-files/RFA-ES-18-001.html" TargetMode="External"/><Relationship Id="rId41" Type="http://schemas.openxmlformats.org/officeDocument/2006/relationships/hyperlink" Target="http://www.wpunj.edu/osp/preparing-proposals.d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sa.gov/about/index.html" TargetMode="External"/><Relationship Id="rId24" Type="http://schemas.openxmlformats.org/officeDocument/2006/relationships/hyperlink" Target="https://www.nsf.gov/publications/pub_summ.jsp?ods_key=nsf19001" TargetMode="External"/><Relationship Id="rId32" Type="http://schemas.openxmlformats.org/officeDocument/2006/relationships/hyperlink" Target="https://grants.nih.gov/grants/guide/pa-files/PA-18-323.html" TargetMode="External"/><Relationship Id="rId37" Type="http://schemas.openxmlformats.org/officeDocument/2006/relationships/hyperlink" Target="https://sloan.org/grants/apply" TargetMode="External"/><Relationship Id="rId40" Type="http://schemas.openxmlformats.org/officeDocument/2006/relationships/hyperlink" Target="http://www.wpunj.edu/osp/irb/index.do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rsa.gov/about/strategic-plan/goal-4.html" TargetMode="External"/><Relationship Id="rId23" Type="http://schemas.openxmlformats.org/officeDocument/2006/relationships/hyperlink" Target="https://bhw.hrsa.gov/loansscholarships" TargetMode="External"/><Relationship Id="rId28" Type="http://schemas.openxmlformats.org/officeDocument/2006/relationships/hyperlink" Target="https://www.grants.gov/web/grants/search-grants.html?keywords=95332418N0002" TargetMode="External"/><Relationship Id="rId36" Type="http://schemas.openxmlformats.org/officeDocument/2006/relationships/hyperlink" Target="https://www.nsf.gov/publications/pub_summ.jsp?ods_key=nsf19533" TargetMode="External"/><Relationship Id="rId10" Type="http://schemas.openxmlformats.org/officeDocument/2006/relationships/hyperlink" Target="http://www.wpunj.edu/osp/dui/index.html" TargetMode="External"/><Relationship Id="rId19" Type="http://schemas.openxmlformats.org/officeDocument/2006/relationships/hyperlink" Target="https://www.hrsa.gov/about/organization/bureaus/hsb/index.html" TargetMode="External"/><Relationship Id="rId31" Type="http://schemas.openxmlformats.org/officeDocument/2006/relationships/hyperlink" Target="https://www.nsf.gov/funding/pgm_summ.jsp?pims_id=568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ants@wpunj.edu" TargetMode="External"/><Relationship Id="rId14" Type="http://schemas.openxmlformats.org/officeDocument/2006/relationships/hyperlink" Target="https://www.hrsa.gov/about/strategic-plan/goal-3.html" TargetMode="External"/><Relationship Id="rId22" Type="http://schemas.openxmlformats.org/officeDocument/2006/relationships/hyperlink" Target="https://www.hrsa.gov/grants/fundingopportunities/default.aspx" TargetMode="External"/><Relationship Id="rId27" Type="http://schemas.openxmlformats.org/officeDocument/2006/relationships/hyperlink" Target="http://www.aascu.org/grc/" TargetMode="External"/><Relationship Id="rId30" Type="http://schemas.openxmlformats.org/officeDocument/2006/relationships/hyperlink" Target="http://grants.nih.gov/grants/guide/pa-files/PAR-12-200.html" TargetMode="External"/><Relationship Id="rId35" Type="http://schemas.openxmlformats.org/officeDocument/2006/relationships/hyperlink" Target="https://www.nsf.gov/funding/pgm_summ.jsp?pims_id=13544" TargetMode="External"/><Relationship Id="rId43" Type="http://schemas.openxmlformats.org/officeDocument/2006/relationships/hyperlink" Target="http://www.wpunj.edu/osp/celebrating-aw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F898C-B329-48A3-9DA4-1587A9D5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1721</Words>
  <Characters>13882</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15572</CharactersWithSpaces>
  <SharedDoc>false</SharedDoc>
  <HLinks>
    <vt:vector size="276" baseType="variant">
      <vt:variant>
        <vt:i4>7864358</vt:i4>
      </vt:variant>
      <vt:variant>
        <vt:i4>135</vt:i4>
      </vt:variant>
      <vt:variant>
        <vt:i4>0</vt:i4>
      </vt:variant>
      <vt:variant>
        <vt:i4>5</vt:i4>
      </vt:variant>
      <vt:variant>
        <vt:lpwstr>http://www.wpunj.edu/osp/recent-awards.dot</vt:lpwstr>
      </vt:variant>
      <vt:variant>
        <vt:lpwstr/>
      </vt:variant>
      <vt:variant>
        <vt:i4>7602276</vt:i4>
      </vt:variant>
      <vt:variant>
        <vt:i4>132</vt:i4>
      </vt:variant>
      <vt:variant>
        <vt:i4>0</vt:i4>
      </vt:variant>
      <vt:variant>
        <vt:i4>5</vt:i4>
      </vt:variant>
      <vt:variant>
        <vt:lpwstr>http://www.wpunj.edu/osp/narratives-and-budgets.dot</vt:lpwstr>
      </vt:variant>
      <vt:variant>
        <vt:lpwstr/>
      </vt:variant>
      <vt:variant>
        <vt:i4>4456472</vt:i4>
      </vt:variant>
      <vt:variant>
        <vt:i4>129</vt:i4>
      </vt:variant>
      <vt:variant>
        <vt:i4>0</vt:i4>
      </vt:variant>
      <vt:variant>
        <vt:i4>5</vt:i4>
      </vt:variant>
      <vt:variant>
        <vt:lpwstr>http://www.wpunj.edu/osp/preparing-proposals.dot</vt:lpwstr>
      </vt:variant>
      <vt:variant>
        <vt:lpwstr/>
      </vt:variant>
      <vt:variant>
        <vt:i4>2228320</vt:i4>
      </vt:variant>
      <vt:variant>
        <vt:i4>126</vt:i4>
      </vt:variant>
      <vt:variant>
        <vt:i4>0</vt:i4>
      </vt:variant>
      <vt:variant>
        <vt:i4>5</vt:i4>
      </vt:variant>
      <vt:variant>
        <vt:lpwstr>http://www.wpunj.edu/osp/irb/index.dot</vt:lpwstr>
      </vt:variant>
      <vt:variant>
        <vt:lpwstr/>
      </vt:variant>
      <vt:variant>
        <vt:i4>3538986</vt:i4>
      </vt:variant>
      <vt:variant>
        <vt:i4>123</vt:i4>
      </vt:variant>
      <vt:variant>
        <vt:i4>0</vt:i4>
      </vt:variant>
      <vt:variant>
        <vt:i4>5</vt:i4>
      </vt:variant>
      <vt:variant>
        <vt:lpwstr>http://www.wpunj.edu/osp/workshops.dot</vt:lpwstr>
      </vt:variant>
      <vt:variant>
        <vt:lpwstr/>
      </vt:variant>
      <vt:variant>
        <vt:i4>5898264</vt:i4>
      </vt:variant>
      <vt:variant>
        <vt:i4>120</vt:i4>
      </vt:variant>
      <vt:variant>
        <vt:i4>0</vt:i4>
      </vt:variant>
      <vt:variant>
        <vt:i4>5</vt:i4>
      </vt:variant>
      <vt:variant>
        <vt:lpwstr>https://us.fulbrightonline.org/about/types-of-awards</vt:lpwstr>
      </vt:variant>
      <vt:variant>
        <vt:lpwstr/>
      </vt:variant>
      <vt:variant>
        <vt:i4>1900626</vt:i4>
      </vt:variant>
      <vt:variant>
        <vt:i4>117</vt:i4>
      </vt:variant>
      <vt:variant>
        <vt:i4>0</vt:i4>
      </vt:variant>
      <vt:variant>
        <vt:i4>5</vt:i4>
      </vt:variant>
      <vt:variant>
        <vt:lpwstr>https://us.fulbrightonline.org/about/types-of-grants/critical-language-enhancement-award</vt:lpwstr>
      </vt:variant>
      <vt:variant>
        <vt:lpwstr/>
      </vt:variant>
      <vt:variant>
        <vt:i4>4128878</vt:i4>
      </vt:variant>
      <vt:variant>
        <vt:i4>114</vt:i4>
      </vt:variant>
      <vt:variant>
        <vt:i4>0</vt:i4>
      </vt:variant>
      <vt:variant>
        <vt:i4>5</vt:i4>
      </vt:variant>
      <vt:variant>
        <vt:lpwstr>https://us.fulbrightonline.org/about/types-of-grants/study-research</vt:lpwstr>
      </vt:variant>
      <vt:variant>
        <vt:lpwstr/>
      </vt:variant>
      <vt:variant>
        <vt:i4>1048659</vt:i4>
      </vt:variant>
      <vt:variant>
        <vt:i4>111</vt:i4>
      </vt:variant>
      <vt:variant>
        <vt:i4>0</vt:i4>
      </vt:variant>
      <vt:variant>
        <vt:i4>5</vt:i4>
      </vt:variant>
      <vt:variant>
        <vt:lpwstr>http://www.acs.org/content/acs/en/funding-and-awards/grants/prf/programs.html</vt:lpwstr>
      </vt:variant>
      <vt:variant>
        <vt:lpwstr/>
      </vt:variant>
      <vt:variant>
        <vt:i4>5046357</vt:i4>
      </vt:variant>
      <vt:variant>
        <vt:i4>108</vt:i4>
      </vt:variant>
      <vt:variant>
        <vt:i4>0</vt:i4>
      </vt:variant>
      <vt:variant>
        <vt:i4>5</vt:i4>
      </vt:variant>
      <vt:variant>
        <vt:lpwstr>https://www.arts.gov/grants-organizations/research-art-works</vt:lpwstr>
      </vt:variant>
      <vt:variant>
        <vt:lpwstr/>
      </vt:variant>
      <vt:variant>
        <vt:i4>1900614</vt:i4>
      </vt:variant>
      <vt:variant>
        <vt:i4>105</vt:i4>
      </vt:variant>
      <vt:variant>
        <vt:i4>0</vt:i4>
      </vt:variant>
      <vt:variant>
        <vt:i4>5</vt:i4>
      </vt:variant>
      <vt:variant>
        <vt:lpwstr>https://www.nsf.gov/funding/pgm_summ.jsp?pims_id=5610</vt:lpwstr>
      </vt:variant>
      <vt:variant>
        <vt:lpwstr/>
      </vt:variant>
      <vt:variant>
        <vt:i4>4522085</vt:i4>
      </vt:variant>
      <vt:variant>
        <vt:i4>102</vt:i4>
      </vt:variant>
      <vt:variant>
        <vt:i4>0</vt:i4>
      </vt:variant>
      <vt:variant>
        <vt:i4>5</vt:i4>
      </vt:variant>
      <vt:variant>
        <vt:lpwstr>https://www.nsf.gov/pubs/2017/nsf17585/nsf17585.htm?WT.mc_id=USNSF_25&amp;WT.mc_ev=click</vt:lpwstr>
      </vt:variant>
      <vt:variant>
        <vt:lpwstr/>
      </vt:variant>
      <vt:variant>
        <vt:i4>2097200</vt:i4>
      </vt:variant>
      <vt:variant>
        <vt:i4>99</vt:i4>
      </vt:variant>
      <vt:variant>
        <vt:i4>0</vt:i4>
      </vt:variant>
      <vt:variant>
        <vt:i4>5</vt:i4>
      </vt:variant>
      <vt:variant>
        <vt:lpwstr>http://njch.org/programs/grant/</vt:lpwstr>
      </vt:variant>
      <vt:variant>
        <vt:lpwstr/>
      </vt:variant>
      <vt:variant>
        <vt:i4>3997806</vt:i4>
      </vt:variant>
      <vt:variant>
        <vt:i4>96</vt:i4>
      </vt:variant>
      <vt:variant>
        <vt:i4>0</vt:i4>
      </vt:variant>
      <vt:variant>
        <vt:i4>5</vt:i4>
      </vt:variant>
      <vt:variant>
        <vt:lpwstr>http://teachpsych.org/page-1557800</vt:lpwstr>
      </vt:variant>
      <vt:variant>
        <vt:lpwstr/>
      </vt:variant>
      <vt:variant>
        <vt:i4>8192120</vt:i4>
      </vt:variant>
      <vt:variant>
        <vt:i4>93</vt:i4>
      </vt:variant>
      <vt:variant>
        <vt:i4>0</vt:i4>
      </vt:variant>
      <vt:variant>
        <vt:i4>5</vt:i4>
      </vt:variant>
      <vt:variant>
        <vt:lpwstr>http://teachpsych.org/members/grants/ECPtravel.php</vt:lpwstr>
      </vt:variant>
      <vt:variant>
        <vt:lpwstr/>
      </vt:variant>
      <vt:variant>
        <vt:i4>6750314</vt:i4>
      </vt:variant>
      <vt:variant>
        <vt:i4>90</vt:i4>
      </vt:variant>
      <vt:variant>
        <vt:i4>0</vt:i4>
      </vt:variant>
      <vt:variant>
        <vt:i4>5</vt:i4>
      </vt:variant>
      <vt:variant>
        <vt:lpwstr>http://www.neafoundation.org/for-educators/learning-and-leadership-grants/</vt:lpwstr>
      </vt:variant>
      <vt:variant>
        <vt:lpwstr/>
      </vt:variant>
      <vt:variant>
        <vt:i4>6750307</vt:i4>
      </vt:variant>
      <vt:variant>
        <vt:i4>87</vt:i4>
      </vt:variant>
      <vt:variant>
        <vt:i4>0</vt:i4>
      </vt:variant>
      <vt:variant>
        <vt:i4>5</vt:i4>
      </vt:variant>
      <vt:variant>
        <vt:lpwstr>https://www.neh.gov/grants/research/scholarly-editions-and-translations-grants</vt:lpwstr>
      </vt:variant>
      <vt:variant>
        <vt:lpwstr/>
      </vt:variant>
      <vt:variant>
        <vt:i4>5439513</vt:i4>
      </vt:variant>
      <vt:variant>
        <vt:i4>84</vt:i4>
      </vt:variant>
      <vt:variant>
        <vt:i4>0</vt:i4>
      </vt:variant>
      <vt:variant>
        <vt:i4>5</vt:i4>
      </vt:variant>
      <vt:variant>
        <vt:lpwstr>https://www.neh.gov/grants/education/humanities-connections-implementation-grants</vt:lpwstr>
      </vt:variant>
      <vt:variant>
        <vt:lpwstr/>
      </vt:variant>
      <vt:variant>
        <vt:i4>3866750</vt:i4>
      </vt:variant>
      <vt:variant>
        <vt:i4>81</vt:i4>
      </vt:variant>
      <vt:variant>
        <vt:i4>0</vt:i4>
      </vt:variant>
      <vt:variant>
        <vt:i4>5</vt:i4>
      </vt:variant>
      <vt:variant>
        <vt:lpwstr>https://www.neh.gov/grants/education/humanities-connections-planning-grants</vt:lpwstr>
      </vt:variant>
      <vt:variant>
        <vt:lpwstr/>
      </vt:variant>
      <vt:variant>
        <vt:i4>4194387</vt:i4>
      </vt:variant>
      <vt:variant>
        <vt:i4>78</vt:i4>
      </vt:variant>
      <vt:variant>
        <vt:i4>0</vt:i4>
      </vt:variant>
      <vt:variant>
        <vt:i4>5</vt:i4>
      </vt:variant>
      <vt:variant>
        <vt:lpwstr>http://www.aascu.org/grc/</vt:lpwstr>
      </vt:variant>
      <vt:variant>
        <vt:lpwstr/>
      </vt:variant>
      <vt:variant>
        <vt:i4>2162793</vt:i4>
      </vt:variant>
      <vt:variant>
        <vt:i4>75</vt:i4>
      </vt:variant>
      <vt:variant>
        <vt:i4>0</vt:i4>
      </vt:variant>
      <vt:variant>
        <vt:i4>5</vt:i4>
      </vt:variant>
      <vt:variant>
        <vt:lpwstr>http://www.grants.gov/web/grants/home.html</vt:lpwstr>
      </vt:variant>
      <vt:variant>
        <vt:lpwstr/>
      </vt:variant>
      <vt:variant>
        <vt:i4>524303</vt:i4>
      </vt:variant>
      <vt:variant>
        <vt:i4>72</vt:i4>
      </vt:variant>
      <vt:variant>
        <vt:i4>0</vt:i4>
      </vt:variant>
      <vt:variant>
        <vt:i4>5</vt:i4>
      </vt:variant>
      <vt:variant>
        <vt:lpwstr>http://www.aascu.org/grc/gs/</vt:lpwstr>
      </vt:variant>
      <vt:variant>
        <vt:lpwstr/>
      </vt:variant>
      <vt:variant>
        <vt:i4>4325433</vt:i4>
      </vt:variant>
      <vt:variant>
        <vt:i4>69</vt:i4>
      </vt:variant>
      <vt:variant>
        <vt:i4>0</vt:i4>
      </vt:variant>
      <vt:variant>
        <vt:i4>5</vt:i4>
      </vt:variant>
      <vt:variant>
        <vt:lpwstr>mailto:BravoC4@wpunj.edu</vt:lpwstr>
      </vt:variant>
      <vt:variant>
        <vt:lpwstr/>
      </vt:variant>
      <vt:variant>
        <vt:i4>262184</vt:i4>
      </vt:variant>
      <vt:variant>
        <vt:i4>66</vt:i4>
      </vt:variant>
      <vt:variant>
        <vt:i4>0</vt:i4>
      </vt:variant>
      <vt:variant>
        <vt:i4>5</vt:i4>
      </vt:variant>
      <vt:variant>
        <vt:lpwstr>mailto:grants@wpunj.edu</vt:lpwstr>
      </vt:variant>
      <vt:variant>
        <vt:lpwstr/>
      </vt:variant>
      <vt:variant>
        <vt:i4>1179775</vt:i4>
      </vt:variant>
      <vt:variant>
        <vt:i4>63</vt:i4>
      </vt:variant>
      <vt:variant>
        <vt:i4>0</vt:i4>
      </vt:variant>
      <vt:variant>
        <vt:i4>5</vt:i4>
      </vt:variant>
      <vt:variant>
        <vt:lpwstr>javascript:window['ctl01_TemplateBody_WebPartManager1_gwpciEventProgramDisplay_ciEventProgramDisplay_jsmanager'].DisplayFunction(%22GRCWEB17%22,%22GRCWEB17/GWEBNIH%22,%2241466%22,%22~/AASCU/FunctionDetail%22,%22False%22);</vt:lpwstr>
      </vt:variant>
      <vt:variant>
        <vt:lpwstr/>
      </vt:variant>
      <vt:variant>
        <vt:i4>2359403</vt:i4>
      </vt:variant>
      <vt:variant>
        <vt:i4>60</vt:i4>
      </vt:variant>
      <vt:variant>
        <vt:i4>0</vt:i4>
      </vt:variant>
      <vt:variant>
        <vt:i4>5</vt:i4>
      </vt:variant>
      <vt:variant>
        <vt:lpwstr>http://www.wpunj.edu/osp/funding-opportunities.html</vt:lpwstr>
      </vt:variant>
      <vt:variant>
        <vt:lpwstr/>
      </vt:variant>
      <vt:variant>
        <vt:i4>4325433</vt:i4>
      </vt:variant>
      <vt:variant>
        <vt:i4>57</vt:i4>
      </vt:variant>
      <vt:variant>
        <vt:i4>0</vt:i4>
      </vt:variant>
      <vt:variant>
        <vt:i4>5</vt:i4>
      </vt:variant>
      <vt:variant>
        <vt:lpwstr>mailto:bravoc4@wpunj.edu</vt:lpwstr>
      </vt:variant>
      <vt:variant>
        <vt:lpwstr/>
      </vt:variant>
      <vt:variant>
        <vt:i4>6553703</vt:i4>
      </vt:variant>
      <vt:variant>
        <vt:i4>54</vt:i4>
      </vt:variant>
      <vt:variant>
        <vt:i4>0</vt:i4>
      </vt:variant>
      <vt:variant>
        <vt:i4>5</vt:i4>
      </vt:variant>
      <vt:variant>
        <vt:lpwstr>https://www.nsf.gov/bfa/dias/policy/coa.jsp</vt:lpwstr>
      </vt:variant>
      <vt:variant>
        <vt:lpwstr/>
      </vt:variant>
      <vt:variant>
        <vt:i4>1376355</vt:i4>
      </vt:variant>
      <vt:variant>
        <vt:i4>51</vt:i4>
      </vt:variant>
      <vt:variant>
        <vt:i4>0</vt:i4>
      </vt:variant>
      <vt:variant>
        <vt:i4>5</vt:i4>
      </vt:variant>
      <vt:variant>
        <vt:lpwstr>https://www.nsf.gov/od/broadeningparticipation/bp_outreach.jsp</vt:lpwstr>
      </vt:variant>
      <vt:variant>
        <vt:lpwstr/>
      </vt:variant>
      <vt:variant>
        <vt:i4>5373993</vt:i4>
      </vt:variant>
      <vt:variant>
        <vt:i4>48</vt:i4>
      </vt:variant>
      <vt:variant>
        <vt:i4>0</vt:i4>
      </vt:variant>
      <vt:variant>
        <vt:i4>5</vt:i4>
      </vt:variant>
      <vt:variant>
        <vt:lpwstr>https://www.nsf.gov/bfa/dias/policy/outreach/propprep_spring17.pdf</vt:lpwstr>
      </vt:variant>
      <vt:variant>
        <vt:lpwstr/>
      </vt:variant>
      <vt:variant>
        <vt:i4>5898316</vt:i4>
      </vt:variant>
      <vt:variant>
        <vt:i4>45</vt:i4>
      </vt:variant>
      <vt:variant>
        <vt:i4>0</vt:i4>
      </vt:variant>
      <vt:variant>
        <vt:i4>5</vt:i4>
      </vt:variant>
      <vt:variant>
        <vt:lpwstr>https://nsfgrantsconferences.com/resource-center/</vt:lpwstr>
      </vt:variant>
      <vt:variant>
        <vt:lpwstr/>
      </vt:variant>
      <vt:variant>
        <vt:i4>3735606</vt:i4>
      </vt:variant>
      <vt:variant>
        <vt:i4>42</vt:i4>
      </vt:variant>
      <vt:variant>
        <vt:i4>0</vt:i4>
      </vt:variant>
      <vt:variant>
        <vt:i4>5</vt:i4>
      </vt:variant>
      <vt:variant>
        <vt:lpwstr>https://www.nsf.gov/bfa/dias/policy/newsletter.jsp</vt:lpwstr>
      </vt:variant>
      <vt:variant>
        <vt:lpwstr/>
      </vt:variant>
      <vt:variant>
        <vt:i4>7733348</vt:i4>
      </vt:variant>
      <vt:variant>
        <vt:i4>39</vt:i4>
      </vt:variant>
      <vt:variant>
        <vt:i4>0</vt:i4>
      </vt:variant>
      <vt:variant>
        <vt:i4>5</vt:i4>
      </vt:variant>
      <vt:variant>
        <vt:lpwstr/>
      </vt:variant>
      <vt:variant>
        <vt:lpwstr>awards</vt:lpwstr>
      </vt:variant>
      <vt:variant>
        <vt:i4>1441823</vt:i4>
      </vt:variant>
      <vt:variant>
        <vt:i4>36</vt:i4>
      </vt:variant>
      <vt:variant>
        <vt:i4>0</vt:i4>
      </vt:variant>
      <vt:variant>
        <vt:i4>5</vt:i4>
      </vt:variant>
      <vt:variant>
        <vt:lpwstr/>
      </vt:variant>
      <vt:variant>
        <vt:lpwstr>fulbright</vt:lpwstr>
      </vt:variant>
      <vt:variant>
        <vt:i4>1376278</vt:i4>
      </vt:variant>
      <vt:variant>
        <vt:i4>33</vt:i4>
      </vt:variant>
      <vt:variant>
        <vt:i4>0</vt:i4>
      </vt:variant>
      <vt:variant>
        <vt:i4>5</vt:i4>
      </vt:variant>
      <vt:variant>
        <vt:lpwstr/>
      </vt:variant>
      <vt:variant>
        <vt:lpwstr>prfgp</vt:lpwstr>
      </vt:variant>
      <vt:variant>
        <vt:i4>6619246</vt:i4>
      </vt:variant>
      <vt:variant>
        <vt:i4>30</vt:i4>
      </vt:variant>
      <vt:variant>
        <vt:i4>0</vt:i4>
      </vt:variant>
      <vt:variant>
        <vt:i4>5</vt:i4>
      </vt:variant>
      <vt:variant>
        <vt:lpwstr/>
      </vt:variant>
      <vt:variant>
        <vt:lpwstr>nea</vt:lpwstr>
      </vt:variant>
      <vt:variant>
        <vt:i4>6750313</vt:i4>
      </vt:variant>
      <vt:variant>
        <vt:i4>27</vt:i4>
      </vt:variant>
      <vt:variant>
        <vt:i4>0</vt:i4>
      </vt:variant>
      <vt:variant>
        <vt:i4>5</vt:i4>
      </vt:variant>
      <vt:variant>
        <vt:lpwstr/>
      </vt:variant>
      <vt:variant>
        <vt:lpwstr>ige</vt:lpwstr>
      </vt:variant>
      <vt:variant>
        <vt:i4>6750313</vt:i4>
      </vt:variant>
      <vt:variant>
        <vt:i4>24</vt:i4>
      </vt:variant>
      <vt:variant>
        <vt:i4>0</vt:i4>
      </vt:variant>
      <vt:variant>
        <vt:i4>5</vt:i4>
      </vt:variant>
      <vt:variant>
        <vt:lpwstr/>
      </vt:variant>
      <vt:variant>
        <vt:lpwstr>ige</vt:lpwstr>
      </vt:variant>
      <vt:variant>
        <vt:i4>131085</vt:i4>
      </vt:variant>
      <vt:variant>
        <vt:i4>21</vt:i4>
      </vt:variant>
      <vt:variant>
        <vt:i4>0</vt:i4>
      </vt:variant>
      <vt:variant>
        <vt:i4>5</vt:i4>
      </vt:variant>
      <vt:variant>
        <vt:lpwstr/>
      </vt:variant>
      <vt:variant>
        <vt:lpwstr>njch</vt:lpwstr>
      </vt:variant>
      <vt:variant>
        <vt:i4>196615</vt:i4>
      </vt:variant>
      <vt:variant>
        <vt:i4>18</vt:i4>
      </vt:variant>
      <vt:variant>
        <vt:i4>0</vt:i4>
      </vt:variant>
      <vt:variant>
        <vt:i4>5</vt:i4>
      </vt:variant>
      <vt:variant>
        <vt:lpwstr/>
      </vt:variant>
      <vt:variant>
        <vt:lpwstr>sotl</vt:lpwstr>
      </vt:variant>
      <vt:variant>
        <vt:i4>7602291</vt:i4>
      </vt:variant>
      <vt:variant>
        <vt:i4>15</vt:i4>
      </vt:variant>
      <vt:variant>
        <vt:i4>0</vt:i4>
      </vt:variant>
      <vt:variant>
        <vt:i4>5</vt:i4>
      </vt:variant>
      <vt:variant>
        <vt:lpwstr/>
      </vt:variant>
      <vt:variant>
        <vt:lpwstr>stp</vt:lpwstr>
      </vt:variant>
      <vt:variant>
        <vt:i4>7471231</vt:i4>
      </vt:variant>
      <vt:variant>
        <vt:i4>12</vt:i4>
      </vt:variant>
      <vt:variant>
        <vt:i4>0</vt:i4>
      </vt:variant>
      <vt:variant>
        <vt:i4>5</vt:i4>
      </vt:variant>
      <vt:variant>
        <vt:lpwstr/>
      </vt:variant>
      <vt:variant>
        <vt:lpwstr>learningleadership</vt:lpwstr>
      </vt:variant>
      <vt:variant>
        <vt:i4>65541</vt:i4>
      </vt:variant>
      <vt:variant>
        <vt:i4>9</vt:i4>
      </vt:variant>
      <vt:variant>
        <vt:i4>0</vt:i4>
      </vt:variant>
      <vt:variant>
        <vt:i4>5</vt:i4>
      </vt:variant>
      <vt:variant>
        <vt:lpwstr/>
      </vt:variant>
      <vt:variant>
        <vt:lpwstr>scholarly</vt:lpwstr>
      </vt:variant>
      <vt:variant>
        <vt:i4>6619251</vt:i4>
      </vt:variant>
      <vt:variant>
        <vt:i4>6</vt:i4>
      </vt:variant>
      <vt:variant>
        <vt:i4>0</vt:i4>
      </vt:variant>
      <vt:variant>
        <vt:i4>5</vt:i4>
      </vt:variant>
      <vt:variant>
        <vt:lpwstr/>
      </vt:variant>
      <vt:variant>
        <vt:lpwstr>connections</vt:lpwstr>
      </vt:variant>
      <vt:variant>
        <vt:i4>3211388</vt:i4>
      </vt:variant>
      <vt:variant>
        <vt:i4>3</vt:i4>
      </vt:variant>
      <vt:variant>
        <vt:i4>0</vt:i4>
      </vt:variant>
      <vt:variant>
        <vt:i4>5</vt:i4>
      </vt:variant>
      <vt:variant>
        <vt:lpwstr>http://www.wpunj.edu/osp/dui/index.html</vt:lpwstr>
      </vt:variant>
      <vt:variant>
        <vt:lpwstr/>
      </vt:variant>
      <vt:variant>
        <vt:i4>262184</vt:i4>
      </vt:variant>
      <vt:variant>
        <vt:i4>0</vt:i4>
      </vt:variant>
      <vt:variant>
        <vt:i4>0</vt:i4>
      </vt:variant>
      <vt:variant>
        <vt:i4>5</vt:i4>
      </vt:variant>
      <vt:variant>
        <vt:lpwstr>mailto:grants@wpunj.edu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GRANTS</dc:creator>
  <cp:lastModifiedBy>GRANTS</cp:lastModifiedBy>
  <cp:revision>21</cp:revision>
  <cp:lastPrinted>2018-11-19T16:51:00Z</cp:lastPrinted>
  <dcterms:created xsi:type="dcterms:W3CDTF">2018-11-26T14:50:00Z</dcterms:created>
  <dcterms:modified xsi:type="dcterms:W3CDTF">2018-11-30T16:58:00Z</dcterms:modified>
</cp:coreProperties>
</file>