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6"/>
        <w:tblW w:w="9969" w:type="dxa"/>
        <w:tblLayout w:type="fixed"/>
        <w:tblCellMar>
          <w:left w:w="0" w:type="dxa"/>
          <w:right w:w="0" w:type="dxa"/>
        </w:tblCellMar>
        <w:tblLook w:val="04A0" w:firstRow="1" w:lastRow="0" w:firstColumn="1" w:lastColumn="0" w:noHBand="0" w:noVBand="1"/>
      </w:tblPr>
      <w:tblGrid>
        <w:gridCol w:w="1454"/>
        <w:gridCol w:w="1479"/>
        <w:gridCol w:w="379"/>
        <w:gridCol w:w="1075"/>
        <w:gridCol w:w="1134"/>
        <w:gridCol w:w="542"/>
        <w:gridCol w:w="568"/>
        <w:gridCol w:w="863"/>
        <w:gridCol w:w="23"/>
        <w:gridCol w:w="1062"/>
        <w:gridCol w:w="1361"/>
        <w:gridCol w:w="18"/>
        <w:gridCol w:w="11"/>
      </w:tblGrid>
      <w:tr w:rsidR="00C86CBC" w:rsidTr="0022569E">
        <w:trPr>
          <w:gridAfter w:val="1"/>
          <w:wAfter w:w="11" w:type="dxa"/>
          <w:trHeight w:val="1353"/>
        </w:trPr>
        <w:tc>
          <w:tcPr>
            <w:tcW w:w="3312" w:type="dxa"/>
            <w:gridSpan w:val="3"/>
            <w:shd w:val="clear" w:color="auto" w:fill="CEC9C8"/>
            <w:tcMar>
              <w:top w:w="0" w:type="dxa"/>
              <w:left w:w="108" w:type="dxa"/>
              <w:bottom w:w="0" w:type="dxa"/>
              <w:right w:w="108" w:type="dxa"/>
            </w:tcMar>
            <w:hideMark/>
          </w:tcPr>
          <w:p w:rsidR="00782340" w:rsidRDefault="00782340" w:rsidP="00782340">
            <w:pPr>
              <w:spacing w:line="276" w:lineRule="auto"/>
              <w:jc w:val="center"/>
              <w:rPr>
                <w:rFonts w:eastAsiaTheme="minorHAnsi"/>
                <w:b/>
                <w:bCs/>
                <w:i/>
                <w:iCs/>
                <w:color w:val="3378CB"/>
              </w:rPr>
            </w:pPr>
            <w:r>
              <w:rPr>
                <w:noProof/>
                <w:sz w:val="20"/>
                <w:szCs w:val="20"/>
              </w:rPr>
              <w:drawing>
                <wp:inline distT="0" distB="0" distL="0" distR="0" wp14:anchorId="6AF63A7E" wp14:editId="032EE1FF">
                  <wp:extent cx="1590675" cy="1009650"/>
                  <wp:effectExtent l="0" t="0" r="0" b="0"/>
                  <wp:docPr id="2"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tc>
        <w:tc>
          <w:tcPr>
            <w:tcW w:w="3319" w:type="dxa"/>
            <w:gridSpan w:val="4"/>
            <w:shd w:val="clear" w:color="auto" w:fill="CEC9C8"/>
            <w:tcMar>
              <w:top w:w="0" w:type="dxa"/>
              <w:left w:w="108" w:type="dxa"/>
              <w:bottom w:w="0" w:type="dxa"/>
              <w:right w:w="108" w:type="dxa"/>
            </w:tcMar>
            <w:vAlign w:val="center"/>
          </w:tcPr>
          <w:p w:rsidR="00782340" w:rsidRDefault="00782340" w:rsidP="00782340">
            <w:pPr>
              <w:jc w:val="center"/>
              <w:rPr>
                <w:rFonts w:eastAsiaTheme="minorHAnsi" w:cstheme="minorBidi"/>
                <w:b/>
                <w:bCs/>
                <w:i/>
                <w:iCs/>
                <w:color w:val="000000"/>
                <w:sz w:val="24"/>
                <w:szCs w:val="24"/>
              </w:rPr>
            </w:pPr>
            <w:r>
              <w:rPr>
                <w:b/>
                <w:bCs/>
                <w:i/>
                <w:iCs/>
                <w:color w:val="000000"/>
                <w:sz w:val="24"/>
                <w:szCs w:val="24"/>
              </w:rPr>
              <w:t>Office of Sponsored Programs</w:t>
            </w:r>
          </w:p>
          <w:p w:rsidR="00782340" w:rsidRDefault="00782340" w:rsidP="00782340">
            <w:pPr>
              <w:jc w:val="center"/>
              <w:rPr>
                <w:rFonts w:asciiTheme="minorHAnsi" w:eastAsiaTheme="minorEastAsia" w:hAnsiTheme="minorHAnsi"/>
                <w:b/>
                <w:bCs/>
                <w:i/>
                <w:iCs/>
                <w:color w:val="000000"/>
                <w:sz w:val="24"/>
                <w:szCs w:val="24"/>
              </w:rPr>
            </w:pPr>
            <w:proofErr w:type="spellStart"/>
            <w:r>
              <w:rPr>
                <w:b/>
                <w:bCs/>
                <w:i/>
                <w:iCs/>
                <w:color w:val="000000"/>
                <w:sz w:val="24"/>
                <w:szCs w:val="24"/>
              </w:rPr>
              <w:t>Raubinger</w:t>
            </w:r>
            <w:proofErr w:type="spellEnd"/>
            <w:r>
              <w:rPr>
                <w:b/>
                <w:bCs/>
                <w:i/>
                <w:iCs/>
                <w:color w:val="000000"/>
                <w:sz w:val="24"/>
                <w:szCs w:val="24"/>
              </w:rPr>
              <w:t xml:space="preserve"> Hall 309</w:t>
            </w:r>
          </w:p>
          <w:p w:rsidR="00782340" w:rsidRDefault="00782340" w:rsidP="00782340">
            <w:pPr>
              <w:jc w:val="center"/>
              <w:rPr>
                <w:b/>
                <w:bCs/>
                <w:i/>
                <w:iCs/>
                <w:color w:val="000000"/>
                <w:sz w:val="24"/>
                <w:szCs w:val="24"/>
              </w:rPr>
            </w:pPr>
            <w:r>
              <w:rPr>
                <w:b/>
                <w:bCs/>
                <w:i/>
                <w:iCs/>
                <w:color w:val="000000"/>
                <w:sz w:val="24"/>
                <w:szCs w:val="24"/>
              </w:rPr>
              <w:t>973-720-2852</w:t>
            </w:r>
          </w:p>
          <w:p w:rsidR="00782340" w:rsidRPr="00C4184E" w:rsidRDefault="001D73FB" w:rsidP="00782340">
            <w:pPr>
              <w:jc w:val="center"/>
              <w:rPr>
                <w:rStyle w:val="Hyperlink"/>
                <w:sz w:val="24"/>
                <w:szCs w:val="24"/>
              </w:rPr>
            </w:pPr>
            <w:hyperlink r:id="rId7" w:history="1">
              <w:r w:rsidR="00782340" w:rsidRPr="00C4184E">
                <w:rPr>
                  <w:rStyle w:val="Hyperlink"/>
                  <w:b/>
                  <w:sz w:val="24"/>
                  <w:szCs w:val="24"/>
                </w:rPr>
                <w:t>grants@wpunj.edu</w:t>
              </w:r>
            </w:hyperlink>
          </w:p>
          <w:p w:rsidR="00782340" w:rsidRPr="00782340" w:rsidRDefault="001D73FB" w:rsidP="00782340">
            <w:pPr>
              <w:jc w:val="center"/>
              <w:rPr>
                <w:b/>
                <w:bCs/>
                <w:i/>
                <w:iCs/>
                <w:color w:val="3378CB"/>
              </w:rPr>
            </w:pPr>
            <w:hyperlink r:id="rId8" w:history="1">
              <w:r w:rsidR="00782340" w:rsidRPr="00C4184E">
                <w:rPr>
                  <w:rStyle w:val="Hyperlink"/>
                  <w:b/>
                  <w:sz w:val="24"/>
                  <w:szCs w:val="24"/>
                </w:rPr>
                <w:t>www.wpunj.edu/osp</w:t>
              </w:r>
            </w:hyperlink>
          </w:p>
        </w:tc>
        <w:tc>
          <w:tcPr>
            <w:tcW w:w="3327" w:type="dxa"/>
            <w:gridSpan w:val="5"/>
            <w:shd w:val="clear" w:color="auto" w:fill="CEC9C8"/>
            <w:tcMar>
              <w:top w:w="0" w:type="dxa"/>
              <w:left w:w="108" w:type="dxa"/>
              <w:bottom w:w="0" w:type="dxa"/>
              <w:right w:w="108" w:type="dxa"/>
            </w:tcMar>
            <w:hideMark/>
          </w:tcPr>
          <w:p w:rsidR="00782340" w:rsidRDefault="00F0058C" w:rsidP="00782340">
            <w:pPr>
              <w:spacing w:line="276" w:lineRule="auto"/>
              <w:jc w:val="right"/>
              <w:rPr>
                <w:rFonts w:eastAsiaTheme="minorHAnsi"/>
                <w:b/>
                <w:bCs/>
                <w:i/>
                <w:iCs/>
                <w:color w:val="3378CB"/>
              </w:rPr>
            </w:pPr>
            <w:r>
              <w:rPr>
                <w:rFonts w:eastAsiaTheme="minorHAnsi"/>
                <w:b/>
                <w:i/>
                <w:noProof/>
                <w:color w:val="3378CB"/>
              </w:rPr>
              <w:drawing>
                <wp:anchor distT="0" distB="0" distL="114300" distR="114300" simplePos="0" relativeHeight="251658240" behindDoc="0" locked="0" layoutInCell="1" allowOverlap="1" wp14:anchorId="38A0AE9B" wp14:editId="07574848">
                  <wp:simplePos x="0" y="0"/>
                  <wp:positionH relativeFrom="column">
                    <wp:posOffset>1142365</wp:posOffset>
                  </wp:positionH>
                  <wp:positionV relativeFrom="paragraph">
                    <wp:posOffset>60714</wp:posOffset>
                  </wp:positionV>
                  <wp:extent cx="704850" cy="882261"/>
                  <wp:effectExtent l="0" t="0" r="0" b="0"/>
                  <wp:wrapNone/>
                  <wp:docPr id="3" name="Picture 3" descr="C:\Users\grants\AppData\Local\Microsoft\Windows\Temporary Internet Files\Content.IE5\QIZQP0RA\MC9002393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QIZQP0RA\MC90023938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8226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681D" w:rsidRPr="00A40614" w:rsidTr="0022569E">
        <w:trPr>
          <w:gridAfter w:val="1"/>
          <w:wAfter w:w="11" w:type="dxa"/>
          <w:trHeight w:val="446"/>
        </w:trPr>
        <w:tc>
          <w:tcPr>
            <w:tcW w:w="7494" w:type="dxa"/>
            <w:gridSpan w:val="8"/>
            <w:tcBorders>
              <w:bottom w:val="single" w:sz="12" w:space="0" w:color="auto"/>
            </w:tcBorders>
            <w:shd w:val="clear" w:color="auto" w:fill="FFC000"/>
            <w:tcMar>
              <w:top w:w="0" w:type="dxa"/>
              <w:left w:w="108" w:type="dxa"/>
              <w:bottom w:w="0" w:type="dxa"/>
              <w:right w:w="108" w:type="dxa"/>
            </w:tcMar>
            <w:vAlign w:val="center"/>
          </w:tcPr>
          <w:p w:rsidR="00782340" w:rsidRPr="00201C05" w:rsidRDefault="00782340" w:rsidP="002719E0">
            <w:pPr>
              <w:rPr>
                <w:rFonts w:asciiTheme="minorHAnsi" w:hAnsiTheme="minorHAnsi" w:cs="Arial"/>
                <w:b/>
                <w:iCs/>
                <w:sz w:val="32"/>
                <w:szCs w:val="36"/>
              </w:rPr>
            </w:pPr>
            <w:r w:rsidRPr="00201C05">
              <w:rPr>
                <w:rFonts w:asciiTheme="minorHAnsi" w:hAnsiTheme="minorHAnsi" w:cs="Arial"/>
                <w:b/>
                <w:iCs/>
                <w:sz w:val="32"/>
                <w:szCs w:val="36"/>
              </w:rPr>
              <w:t xml:space="preserve">Funding Opportunities Newsletter                                           </w:t>
            </w:r>
          </w:p>
        </w:tc>
        <w:tc>
          <w:tcPr>
            <w:tcW w:w="2464" w:type="dxa"/>
            <w:gridSpan w:val="4"/>
            <w:tcBorders>
              <w:bottom w:val="single" w:sz="12" w:space="0" w:color="auto"/>
            </w:tcBorders>
            <w:shd w:val="clear" w:color="auto" w:fill="FFC000"/>
            <w:vAlign w:val="center"/>
          </w:tcPr>
          <w:p w:rsidR="00782340" w:rsidRPr="00201C05" w:rsidRDefault="00047F21" w:rsidP="00AB142C">
            <w:pPr>
              <w:jc w:val="right"/>
              <w:rPr>
                <w:rFonts w:asciiTheme="minorHAnsi" w:hAnsiTheme="minorHAnsi" w:cs="Arial"/>
                <w:b/>
                <w:iCs/>
                <w:sz w:val="32"/>
                <w:szCs w:val="36"/>
              </w:rPr>
            </w:pPr>
            <w:r>
              <w:rPr>
                <w:rFonts w:asciiTheme="minorHAnsi" w:hAnsiTheme="minorHAnsi" w:cs="Arial"/>
                <w:b/>
                <w:iCs/>
                <w:sz w:val="32"/>
                <w:szCs w:val="36"/>
              </w:rPr>
              <w:t>June 1</w:t>
            </w:r>
            <w:r w:rsidR="00AB142C">
              <w:rPr>
                <w:rFonts w:asciiTheme="minorHAnsi" w:hAnsiTheme="minorHAnsi" w:cs="Arial"/>
                <w:b/>
                <w:iCs/>
                <w:sz w:val="32"/>
                <w:szCs w:val="36"/>
              </w:rPr>
              <w:t>6</w:t>
            </w:r>
            <w:r w:rsidR="00782340" w:rsidRPr="00201C05">
              <w:rPr>
                <w:rFonts w:asciiTheme="minorHAnsi" w:hAnsiTheme="minorHAnsi" w:cs="Arial"/>
                <w:b/>
                <w:iCs/>
                <w:sz w:val="32"/>
                <w:szCs w:val="36"/>
              </w:rPr>
              <w:t>, 201</w:t>
            </w:r>
            <w:r w:rsidR="00A40614" w:rsidRPr="00201C05">
              <w:rPr>
                <w:rFonts w:asciiTheme="minorHAnsi" w:hAnsiTheme="minorHAnsi" w:cs="Arial"/>
                <w:b/>
                <w:iCs/>
                <w:sz w:val="32"/>
                <w:szCs w:val="36"/>
              </w:rPr>
              <w:t>4</w:t>
            </w:r>
          </w:p>
        </w:tc>
      </w:tr>
      <w:tr w:rsidR="00653B41" w:rsidRPr="00A40614" w:rsidTr="0022569E">
        <w:trPr>
          <w:gridAfter w:val="1"/>
          <w:wAfter w:w="11" w:type="dxa"/>
          <w:trHeight w:val="270"/>
        </w:trPr>
        <w:tc>
          <w:tcPr>
            <w:tcW w:w="9958" w:type="dxa"/>
            <w:gridSpan w:val="12"/>
            <w:tcBorders>
              <w:bottom w:val="single" w:sz="12" w:space="0" w:color="auto"/>
            </w:tcBorders>
            <w:shd w:val="clear" w:color="auto" w:fill="auto"/>
            <w:tcMar>
              <w:top w:w="0" w:type="dxa"/>
              <w:left w:w="108" w:type="dxa"/>
              <w:bottom w:w="0" w:type="dxa"/>
              <w:right w:w="108" w:type="dxa"/>
            </w:tcMar>
            <w:vAlign w:val="center"/>
          </w:tcPr>
          <w:p w:rsidR="00653B41" w:rsidRPr="00653B41" w:rsidRDefault="00653B41" w:rsidP="00653B41">
            <w:pPr>
              <w:jc w:val="center"/>
              <w:rPr>
                <w:rFonts w:asciiTheme="minorHAnsi" w:hAnsiTheme="minorHAnsi"/>
                <w:b/>
                <w:bCs/>
                <w:color w:val="FF0000"/>
                <w:sz w:val="24"/>
                <w:szCs w:val="24"/>
              </w:rPr>
            </w:pPr>
            <w:r w:rsidRPr="00043D76">
              <w:rPr>
                <w:rFonts w:asciiTheme="minorHAnsi" w:hAnsiTheme="minorHAnsi"/>
                <w:b/>
                <w:bCs/>
                <w:color w:val="FF0000"/>
                <w:sz w:val="24"/>
                <w:szCs w:val="24"/>
              </w:rPr>
              <w:t>Please contact the Office of Sponsored Programs when you begin</w:t>
            </w:r>
            <w:r>
              <w:rPr>
                <w:rFonts w:asciiTheme="minorHAnsi" w:hAnsiTheme="minorHAnsi"/>
                <w:b/>
                <w:bCs/>
                <w:color w:val="FF0000"/>
                <w:sz w:val="24"/>
                <w:szCs w:val="24"/>
              </w:rPr>
              <w:t xml:space="preserve"> </w:t>
            </w:r>
            <w:r w:rsidRPr="00043D76">
              <w:rPr>
                <w:rFonts w:asciiTheme="minorHAnsi" w:hAnsiTheme="minorHAnsi"/>
                <w:b/>
                <w:bCs/>
                <w:color w:val="FF0000"/>
                <w:sz w:val="24"/>
                <w:szCs w:val="24"/>
              </w:rPr>
              <w:t>working on a proposal.</w:t>
            </w:r>
          </w:p>
        </w:tc>
      </w:tr>
      <w:tr w:rsidR="00C30CF1" w:rsidTr="0022569E">
        <w:trPr>
          <w:gridAfter w:val="2"/>
          <w:wAfter w:w="29" w:type="dxa"/>
          <w:trHeight w:val="335"/>
        </w:trPr>
        <w:tc>
          <w:tcPr>
            <w:tcW w:w="5521" w:type="dxa"/>
            <w:gridSpan w:val="5"/>
            <w:tcBorders>
              <w:top w:val="single" w:sz="12" w:space="0" w:color="auto"/>
              <w:right w:val="single" w:sz="12" w:space="0" w:color="auto"/>
            </w:tcBorders>
          </w:tcPr>
          <w:p w:rsidR="001E276B" w:rsidRDefault="000A16D5" w:rsidP="0012574C">
            <w:pPr>
              <w:ind w:right="144"/>
              <w:rPr>
                <w:b/>
                <w:i/>
                <w:sz w:val="32"/>
                <w:szCs w:val="32"/>
              </w:rPr>
            </w:pPr>
            <w:r>
              <w:rPr>
                <w:b/>
                <w:i/>
                <w:sz w:val="32"/>
                <w:szCs w:val="32"/>
              </w:rPr>
              <w:t>Search for Funding</w:t>
            </w:r>
          </w:p>
          <w:p w:rsidR="000A16D5" w:rsidRPr="00380420" w:rsidRDefault="000A16D5" w:rsidP="0012574C">
            <w:pPr>
              <w:ind w:right="144"/>
              <w:rPr>
                <w:rFonts w:ascii="Arial" w:hAnsi="Arial" w:cs="Arial"/>
                <w:sz w:val="20"/>
                <w:szCs w:val="20"/>
              </w:rPr>
            </w:pPr>
            <w:r w:rsidRPr="00380420">
              <w:rPr>
                <w:rFonts w:ascii="Arial" w:hAnsi="Arial" w:cs="Arial"/>
                <w:sz w:val="20"/>
                <w:szCs w:val="20"/>
              </w:rPr>
              <w:t>*Use online databases such as the subscription services provided through WPU’s Office of Sponsored Programs or free services available from the Federal Government or other programs*</w:t>
            </w:r>
          </w:p>
          <w:p w:rsidR="00131CD8" w:rsidRPr="00131CD8" w:rsidRDefault="00131CD8" w:rsidP="0012574C">
            <w:pPr>
              <w:ind w:right="144"/>
              <w:rPr>
                <w:b/>
                <w:i/>
                <w:sz w:val="16"/>
                <w:szCs w:val="16"/>
              </w:rPr>
            </w:pPr>
          </w:p>
          <w:p w:rsidR="00624328" w:rsidRDefault="001D73FB" w:rsidP="0012574C">
            <w:pPr>
              <w:ind w:right="144"/>
              <w:rPr>
                <w:rFonts w:ascii="Arial" w:hAnsi="Arial" w:cs="Arial"/>
                <w:color w:val="313131"/>
                <w:bdr w:val="none" w:sz="0" w:space="0" w:color="auto" w:frame="1"/>
              </w:rPr>
            </w:pPr>
            <w:hyperlink r:id="rId10" w:history="1">
              <w:r w:rsidR="00624328" w:rsidRPr="00D41D25">
                <w:rPr>
                  <w:rStyle w:val="Hyperlink"/>
                  <w:rFonts w:ascii="Arial" w:hAnsi="Arial" w:cs="Arial"/>
                  <w:b/>
                </w:rPr>
                <w:t>COS PIVOT</w:t>
              </w:r>
            </w:hyperlink>
            <w:r w:rsidR="00624328" w:rsidRPr="00D41D25">
              <w:rPr>
                <w:rFonts w:ascii="Arial" w:hAnsi="Arial" w:cs="Arial"/>
                <w:b/>
                <w:color w:val="313131"/>
                <w:bdr w:val="none" w:sz="0" w:space="0" w:color="auto" w:frame="1"/>
              </w:rPr>
              <w:t xml:space="preserve"> </w:t>
            </w:r>
            <w:r w:rsidR="00624328" w:rsidRPr="00D41D25">
              <w:rPr>
                <w:rFonts w:ascii="Arial" w:hAnsi="Arial" w:cs="Arial"/>
                <w:color w:val="313131"/>
                <w:bdr w:val="none" w:sz="0" w:space="0" w:color="auto" w:frame="1"/>
              </w:rPr>
              <w:t>gives Research Administrators, Research Development Professionals, and their institutions the edge to bring together the right research opportunities, funding, and people quickly and easily</w:t>
            </w:r>
            <w:r w:rsidR="00624328" w:rsidRPr="00131CD8">
              <w:rPr>
                <w:rFonts w:ascii="Arial" w:hAnsi="Arial" w:cs="Arial"/>
                <w:color w:val="313131"/>
                <w:bdr w:val="none" w:sz="0" w:space="0" w:color="auto" w:frame="1"/>
              </w:rPr>
              <w:t>.</w:t>
            </w:r>
          </w:p>
          <w:p w:rsidR="00131CD8" w:rsidRPr="00131CD8" w:rsidRDefault="00131CD8" w:rsidP="0012574C">
            <w:pPr>
              <w:ind w:right="144"/>
              <w:rPr>
                <w:rFonts w:ascii="Arial" w:hAnsi="Arial" w:cs="Arial"/>
                <w:color w:val="313131"/>
                <w:sz w:val="16"/>
                <w:szCs w:val="16"/>
                <w:bdr w:val="none" w:sz="0" w:space="0" w:color="auto" w:frame="1"/>
              </w:rPr>
            </w:pPr>
          </w:p>
          <w:p w:rsidR="001E276B" w:rsidRDefault="001D73FB" w:rsidP="0012574C">
            <w:pPr>
              <w:ind w:right="144"/>
              <w:rPr>
                <w:rFonts w:ascii="Arial" w:hAnsi="Arial" w:cs="Arial"/>
                <w:color w:val="313131"/>
                <w:bdr w:val="none" w:sz="0" w:space="0" w:color="auto" w:frame="1"/>
              </w:rPr>
            </w:pPr>
            <w:hyperlink r:id="rId11" w:history="1">
              <w:r w:rsidR="00131CD8" w:rsidRPr="00131CD8">
                <w:rPr>
                  <w:rStyle w:val="Hyperlink"/>
                  <w:rFonts w:ascii="Arial" w:hAnsi="Arial" w:cs="Arial"/>
                  <w:b/>
                  <w:bdr w:val="none" w:sz="0" w:space="0" w:color="auto" w:frame="1"/>
                </w:rPr>
                <w:t>GrantSearch</w:t>
              </w:r>
            </w:hyperlink>
            <w:r w:rsidR="00131CD8" w:rsidRPr="00131CD8">
              <w:rPr>
                <w:rFonts w:ascii="Arial" w:hAnsi="Arial" w:cs="Arial"/>
                <w:color w:val="313131"/>
                <w:bdr w:val="none" w:sz="0" w:space="0" w:color="auto" w:frame="1"/>
              </w:rPr>
              <w:t xml:space="preserve"> contai</w:t>
            </w:r>
            <w:r w:rsidR="0012574C">
              <w:rPr>
                <w:rFonts w:ascii="Arial" w:hAnsi="Arial" w:cs="Arial"/>
                <w:color w:val="313131"/>
                <w:bdr w:val="none" w:sz="0" w:space="0" w:color="auto" w:frame="1"/>
              </w:rPr>
              <w:t xml:space="preserve">ns descriptions, deadlines, and </w:t>
            </w:r>
            <w:r w:rsidR="00131CD8" w:rsidRPr="00131CD8">
              <w:rPr>
                <w:rFonts w:ascii="Arial" w:hAnsi="Arial" w:cs="Arial"/>
                <w:color w:val="313131"/>
                <w:bdr w:val="none" w:sz="0" w:space="0" w:color="auto" w:frame="1"/>
              </w:rPr>
              <w:t>contact information on nearly 12,000 federal and private funding programs of particular interest to public colleges and universities.</w:t>
            </w:r>
          </w:p>
          <w:p w:rsidR="00131CD8" w:rsidRDefault="00131CD8" w:rsidP="0012574C">
            <w:pPr>
              <w:ind w:right="144"/>
              <w:rPr>
                <w:rFonts w:ascii="Arial" w:hAnsi="Arial" w:cs="Arial"/>
                <w:color w:val="313131"/>
                <w:sz w:val="16"/>
                <w:szCs w:val="16"/>
                <w:bdr w:val="none" w:sz="0" w:space="0" w:color="auto" w:frame="1"/>
              </w:rPr>
            </w:pPr>
          </w:p>
          <w:p w:rsidR="00131CD8" w:rsidRDefault="001D73FB" w:rsidP="0012574C">
            <w:pPr>
              <w:ind w:right="144"/>
              <w:rPr>
                <w:rFonts w:ascii="Arial" w:hAnsi="Arial" w:cs="Arial"/>
                <w:color w:val="313131"/>
                <w:bdr w:val="none" w:sz="0" w:space="0" w:color="auto" w:frame="1"/>
              </w:rPr>
            </w:pPr>
            <w:hyperlink r:id="rId12" w:history="1">
              <w:r w:rsidR="009753E2" w:rsidRPr="009753E2">
                <w:rPr>
                  <w:rStyle w:val="Hyperlink"/>
                  <w:rFonts w:ascii="Arial" w:hAnsi="Arial" w:cs="Arial"/>
                  <w:b/>
                  <w:bdr w:val="none" w:sz="0" w:space="0" w:color="auto" w:frame="1"/>
                </w:rPr>
                <w:t>Grants.gov</w:t>
              </w:r>
            </w:hyperlink>
            <w:r w:rsidR="00325C19">
              <w:rPr>
                <w:rFonts w:ascii="Arial" w:hAnsi="Arial" w:cs="Arial"/>
                <w:color w:val="313131"/>
                <w:sz w:val="21"/>
                <w:szCs w:val="21"/>
                <w:shd w:val="clear" w:color="auto" w:fill="F7F8FA"/>
              </w:rPr>
              <w:t xml:space="preserve"> </w:t>
            </w:r>
            <w:r w:rsidR="009753E2" w:rsidRPr="009753E2">
              <w:rPr>
                <w:rFonts w:ascii="Arial" w:hAnsi="Arial" w:cs="Arial"/>
                <w:color w:val="313131"/>
                <w:bdr w:val="none" w:sz="0" w:space="0" w:color="auto" w:frame="1"/>
              </w:rPr>
              <w:t>is the Federal portal to finding funding opportunities and then applying for support.</w:t>
            </w:r>
          </w:p>
          <w:p w:rsidR="00733ABB" w:rsidRDefault="00733ABB" w:rsidP="0012574C">
            <w:pPr>
              <w:ind w:right="144"/>
              <w:rPr>
                <w:rFonts w:ascii="Arial" w:hAnsi="Arial" w:cs="Arial"/>
                <w:b/>
                <w:color w:val="313131"/>
                <w:sz w:val="16"/>
                <w:szCs w:val="16"/>
                <w:bdr w:val="none" w:sz="0" w:space="0" w:color="auto" w:frame="1"/>
              </w:rPr>
            </w:pPr>
          </w:p>
          <w:p w:rsidR="00AC0EB6" w:rsidRDefault="001D73FB" w:rsidP="0012574C">
            <w:pPr>
              <w:ind w:right="144"/>
              <w:rPr>
                <w:rStyle w:val="apple-converted-space"/>
                <w:rFonts w:ascii="Arial" w:hAnsi="Arial" w:cs="Arial"/>
                <w:color w:val="313131"/>
                <w:sz w:val="21"/>
                <w:szCs w:val="21"/>
                <w:shd w:val="clear" w:color="auto" w:fill="F7F8FA"/>
              </w:rPr>
            </w:pPr>
            <w:hyperlink r:id="rId13" w:history="1">
              <w:r w:rsidR="00AC0EB6" w:rsidRPr="00AC0EB6">
                <w:rPr>
                  <w:rStyle w:val="Hyperlink"/>
                  <w:rFonts w:ascii="Arial" w:hAnsi="Arial" w:cs="Arial"/>
                  <w:b/>
                  <w:bdr w:val="none" w:sz="0" w:space="0" w:color="auto" w:frame="1"/>
                </w:rPr>
                <w:t>Grant Resource Center</w:t>
              </w:r>
            </w:hyperlink>
            <w:r w:rsidR="00AC0EB6" w:rsidRPr="00AC0EB6">
              <w:rPr>
                <w:bdr w:val="none" w:sz="0" w:space="0" w:color="auto" w:frame="1"/>
              </w:rPr>
              <w:t> </w:t>
            </w:r>
            <w:r w:rsidR="00AC0EB6" w:rsidRPr="00AC0EB6">
              <w:rPr>
                <w:rFonts w:ascii="Arial" w:hAnsi="Arial" w:cs="Arial"/>
                <w:color w:val="313131"/>
                <w:bdr w:val="none" w:sz="0" w:space="0" w:color="auto" w:frame="1"/>
              </w:rPr>
              <w:t>provides detailed information on Federal funding and Congressional actions, materials to support proposal development -- including abstracts for funded projects, and access to GrantSearch.</w:t>
            </w:r>
          </w:p>
          <w:p w:rsidR="00923A02" w:rsidRDefault="00923A02" w:rsidP="00AC0EB6">
            <w:pPr>
              <w:rPr>
                <w:rFonts w:ascii="Arial" w:hAnsi="Arial" w:cs="Arial"/>
                <w:b/>
                <w:color w:val="313131"/>
                <w:sz w:val="16"/>
                <w:szCs w:val="16"/>
                <w:bdr w:val="none" w:sz="0" w:space="0" w:color="auto" w:frame="1"/>
              </w:rPr>
            </w:pPr>
          </w:p>
          <w:p w:rsidR="00FE1670" w:rsidRPr="00D41D25" w:rsidRDefault="001D73FB" w:rsidP="00AC0EB6">
            <w:pPr>
              <w:rPr>
                <w:rFonts w:ascii="Arial" w:hAnsi="Arial" w:cs="Arial"/>
                <w:color w:val="313131"/>
                <w:bdr w:val="none" w:sz="0" w:space="0" w:color="auto" w:frame="1"/>
              </w:rPr>
            </w:pPr>
            <w:hyperlink r:id="rId14" w:history="1">
              <w:r w:rsidR="00FE1670" w:rsidRPr="00D41D25">
                <w:rPr>
                  <w:rStyle w:val="Hyperlink"/>
                  <w:rFonts w:ascii="Arial" w:hAnsi="Arial" w:cs="Arial"/>
                  <w:b/>
                  <w:bdr w:val="none" w:sz="0" w:space="0" w:color="auto" w:frame="1"/>
                </w:rPr>
                <w:t>Good Funding Opportunities and Support</w:t>
              </w:r>
            </w:hyperlink>
            <w:r w:rsidR="00FE1670" w:rsidRPr="00D41D25">
              <w:rPr>
                <w:rFonts w:ascii="Arial" w:hAnsi="Arial" w:cs="Arial"/>
                <w:b/>
                <w:color w:val="313131"/>
                <w:bdr w:val="none" w:sz="0" w:space="0" w:color="auto" w:frame="1"/>
              </w:rPr>
              <w:t xml:space="preserve"> </w:t>
            </w:r>
            <w:r w:rsidR="00FE1670" w:rsidRPr="00D41D25">
              <w:rPr>
                <w:rFonts w:ascii="Arial" w:hAnsi="Arial" w:cs="Arial"/>
                <w:color w:val="313131"/>
                <w:bdr w:val="none" w:sz="0" w:space="0" w:color="auto" w:frame="1"/>
              </w:rPr>
              <w:t>The OSP offers a variety of resources to assist you in identifying appropriate funders for your project or program.</w:t>
            </w:r>
          </w:p>
          <w:p w:rsidR="00FE1670" w:rsidRPr="00537268" w:rsidRDefault="00FE1670" w:rsidP="00AC0EB6">
            <w:pPr>
              <w:rPr>
                <w:rFonts w:ascii="Arial" w:hAnsi="Arial" w:cs="Arial"/>
                <w:color w:val="313131"/>
                <w:sz w:val="16"/>
                <w:szCs w:val="16"/>
                <w:bdr w:val="none" w:sz="0" w:space="0" w:color="auto" w:frame="1"/>
              </w:rPr>
            </w:pPr>
          </w:p>
          <w:p w:rsidR="00FE1670" w:rsidRPr="00D41D25" w:rsidRDefault="001D73FB" w:rsidP="00AC0EB6">
            <w:pPr>
              <w:rPr>
                <w:rFonts w:ascii="Arial" w:hAnsi="Arial" w:cs="Arial"/>
                <w:color w:val="313131"/>
                <w:bdr w:val="none" w:sz="0" w:space="0" w:color="auto" w:frame="1"/>
              </w:rPr>
            </w:pPr>
            <w:hyperlink r:id="rId15" w:history="1">
              <w:r w:rsidR="000C332E" w:rsidRPr="00D41D25">
                <w:rPr>
                  <w:rStyle w:val="Hyperlink"/>
                  <w:rFonts w:ascii="Arial" w:hAnsi="Arial" w:cs="Arial"/>
                  <w:b/>
                  <w:bdr w:val="none" w:sz="0" w:space="0" w:color="auto" w:frame="1"/>
                </w:rPr>
                <w:t>Funding</w:t>
              </w:r>
            </w:hyperlink>
            <w:r w:rsidR="000C332E" w:rsidRPr="00D41D25">
              <w:rPr>
                <w:rStyle w:val="Hyperlink"/>
                <w:rFonts w:ascii="Arial" w:hAnsi="Arial" w:cs="Arial"/>
                <w:b/>
                <w:bdr w:val="none" w:sz="0" w:space="0" w:color="auto" w:frame="1"/>
              </w:rPr>
              <w:t xml:space="preserve"> Opportunities Newsletter Archive</w:t>
            </w:r>
            <w:r w:rsidR="00FE1670" w:rsidRPr="00D41D25">
              <w:rPr>
                <w:rFonts w:ascii="Arial" w:hAnsi="Arial" w:cs="Arial"/>
                <w:color w:val="313131"/>
                <w:bdr w:val="none" w:sz="0" w:space="0" w:color="auto" w:frame="1"/>
              </w:rPr>
              <w:t xml:space="preserve"> The OSP electronic newsletter containing compiled information on funding agencies and opportunities.</w:t>
            </w:r>
          </w:p>
          <w:p w:rsidR="00D94779" w:rsidRPr="00C14E48" w:rsidRDefault="00D94779" w:rsidP="00BA2E39">
            <w:pPr>
              <w:rPr>
                <w:rFonts w:ascii="Arial" w:hAnsi="Arial" w:cs="Arial"/>
                <w:b/>
                <w:color w:val="313131"/>
                <w:bdr w:val="none" w:sz="0" w:space="0" w:color="auto" w:frame="1"/>
              </w:rPr>
            </w:pPr>
          </w:p>
        </w:tc>
        <w:tc>
          <w:tcPr>
            <w:tcW w:w="4419" w:type="dxa"/>
            <w:gridSpan w:val="6"/>
            <w:tcBorders>
              <w:top w:val="single" w:sz="12" w:space="0" w:color="auto"/>
              <w:left w:val="single" w:sz="12" w:space="0" w:color="auto"/>
            </w:tcBorders>
          </w:tcPr>
          <w:p w:rsidR="001E276B" w:rsidRPr="001E276B" w:rsidRDefault="000C332E" w:rsidP="00923A02">
            <w:pPr>
              <w:spacing w:before="40"/>
              <w:ind w:left="144"/>
              <w:rPr>
                <w:rFonts w:eastAsiaTheme="minorHAnsi" w:cstheme="minorBidi"/>
                <w:b/>
                <w:i/>
                <w:sz w:val="32"/>
                <w:szCs w:val="32"/>
              </w:rPr>
            </w:pPr>
            <w:r>
              <w:rPr>
                <w:b/>
                <w:i/>
                <w:sz w:val="32"/>
                <w:szCs w:val="32"/>
              </w:rPr>
              <w:t>Recently announced</w:t>
            </w:r>
            <w:r w:rsidR="001E276B" w:rsidRPr="001E276B">
              <w:rPr>
                <w:b/>
                <w:i/>
                <w:sz w:val="32"/>
                <w:szCs w:val="32"/>
              </w:rPr>
              <w:t xml:space="preserve"> funding opportunities are in these disciplines</w:t>
            </w:r>
          </w:p>
          <w:p w:rsidR="0000050F" w:rsidRDefault="001D73FB" w:rsidP="0000050F">
            <w:pPr>
              <w:ind w:left="144"/>
              <w:rPr>
                <w:b/>
                <w:sz w:val="28"/>
                <w:szCs w:val="28"/>
              </w:rPr>
            </w:pPr>
            <w:hyperlink w:anchor="art" w:history="1">
              <w:r w:rsidR="0000050F">
                <w:rPr>
                  <w:rStyle w:val="Hyperlink"/>
                  <w:b/>
                  <w:sz w:val="28"/>
                  <w:szCs w:val="28"/>
                </w:rPr>
                <w:t>Art and Communication</w:t>
              </w:r>
            </w:hyperlink>
          </w:p>
          <w:p w:rsidR="0000050F" w:rsidRDefault="001D73FB" w:rsidP="0000050F">
            <w:pPr>
              <w:ind w:left="144"/>
            </w:pPr>
            <w:hyperlink w:anchor="edu" w:history="1">
              <w:r w:rsidR="0000050F">
                <w:rPr>
                  <w:rStyle w:val="Hyperlink"/>
                  <w:b/>
                  <w:sz w:val="28"/>
                  <w:szCs w:val="28"/>
                </w:rPr>
                <w:t>Education</w:t>
              </w:r>
            </w:hyperlink>
          </w:p>
          <w:p w:rsidR="0000050F" w:rsidRDefault="001D73FB" w:rsidP="0000050F">
            <w:pPr>
              <w:ind w:left="144"/>
              <w:rPr>
                <w:b/>
                <w:sz w:val="28"/>
                <w:szCs w:val="28"/>
              </w:rPr>
            </w:pPr>
            <w:hyperlink w:anchor="hea" w:history="1">
              <w:r w:rsidR="0000050F">
                <w:rPr>
                  <w:rStyle w:val="Hyperlink"/>
                  <w:b/>
                  <w:sz w:val="28"/>
                  <w:szCs w:val="28"/>
                </w:rPr>
                <w:t>Health</w:t>
              </w:r>
            </w:hyperlink>
          </w:p>
          <w:p w:rsidR="0000050F" w:rsidRDefault="001D73FB" w:rsidP="0000050F">
            <w:pPr>
              <w:ind w:left="144"/>
              <w:rPr>
                <w:b/>
                <w:sz w:val="28"/>
                <w:szCs w:val="28"/>
              </w:rPr>
            </w:pPr>
            <w:hyperlink w:anchor="hum" w:history="1">
              <w:r w:rsidR="0000050F">
                <w:rPr>
                  <w:rStyle w:val="Hyperlink"/>
                  <w:b/>
                  <w:sz w:val="28"/>
                  <w:szCs w:val="28"/>
                </w:rPr>
                <w:t>Humanities and Language</w:t>
              </w:r>
            </w:hyperlink>
          </w:p>
          <w:p w:rsidR="0000050F" w:rsidRDefault="001D73FB" w:rsidP="0000050F">
            <w:pPr>
              <w:ind w:left="144"/>
            </w:pPr>
            <w:hyperlink w:anchor="phy" w:history="1">
              <w:r w:rsidR="0000050F">
                <w:rPr>
                  <w:rStyle w:val="Hyperlink"/>
                  <w:b/>
                  <w:sz w:val="28"/>
                  <w:szCs w:val="28"/>
                </w:rPr>
                <w:t>Physical Sciences and Math</w:t>
              </w:r>
            </w:hyperlink>
          </w:p>
          <w:p w:rsidR="0000050F" w:rsidRDefault="001D73FB" w:rsidP="0000050F">
            <w:pPr>
              <w:ind w:left="144"/>
              <w:rPr>
                <w:b/>
                <w:sz w:val="28"/>
                <w:szCs w:val="28"/>
              </w:rPr>
            </w:pPr>
            <w:hyperlink w:anchor="soc" w:history="1">
              <w:r w:rsidR="0000050F">
                <w:rPr>
                  <w:rStyle w:val="Hyperlink"/>
                  <w:b/>
                  <w:sz w:val="28"/>
                  <w:szCs w:val="28"/>
                </w:rPr>
                <w:t>Social Sciences</w:t>
              </w:r>
            </w:hyperlink>
          </w:p>
          <w:bookmarkStart w:id="0" w:name="_GoBack"/>
          <w:bookmarkEnd w:id="0"/>
          <w:p w:rsidR="001E276B" w:rsidRPr="00F710D2" w:rsidRDefault="001D73FB" w:rsidP="0000050F">
            <w:pPr>
              <w:spacing w:after="40"/>
              <w:ind w:left="144"/>
              <w:rPr>
                <w:b/>
                <w:color w:val="0000FF"/>
                <w:sz w:val="28"/>
                <w:szCs w:val="28"/>
                <w:u w:val="single"/>
              </w:rPr>
            </w:pPr>
            <w:r>
              <w:fldChar w:fldCharType="begin"/>
            </w:r>
            <w:r>
              <w:instrText xml:space="preserve"> HYPERLINK \l "wom" </w:instrText>
            </w:r>
            <w:r>
              <w:fldChar w:fldCharType="separate"/>
            </w:r>
            <w:r w:rsidR="0000050F" w:rsidRPr="00C00DC6">
              <w:rPr>
                <w:rStyle w:val="Hyperlink"/>
                <w:b/>
                <w:sz w:val="28"/>
                <w:szCs w:val="28"/>
              </w:rPr>
              <w:t>Women and Minorities</w:t>
            </w:r>
            <w:r>
              <w:rPr>
                <w:rStyle w:val="Hyperlink"/>
                <w:b/>
                <w:sz w:val="28"/>
                <w:szCs w:val="28"/>
              </w:rPr>
              <w:fldChar w:fldCharType="end"/>
            </w:r>
          </w:p>
        </w:tc>
      </w:tr>
      <w:tr w:rsidR="0022569E" w:rsidTr="0022569E">
        <w:trPr>
          <w:trHeight w:val="335"/>
        </w:trPr>
        <w:tc>
          <w:tcPr>
            <w:tcW w:w="1454" w:type="dxa"/>
            <w:vMerge w:val="restart"/>
            <w:tcBorders>
              <w:top w:val="single" w:sz="12" w:space="0" w:color="auto"/>
            </w:tcBorders>
            <w:vAlign w:val="center"/>
          </w:tcPr>
          <w:p w:rsidR="0022569E" w:rsidRPr="00C34C35" w:rsidRDefault="001D73FB" w:rsidP="002719E0">
            <w:pPr>
              <w:jc w:val="center"/>
              <w:rPr>
                <w:rFonts w:asciiTheme="minorHAnsi" w:hAnsiTheme="minorHAnsi" w:cs="Arial"/>
                <w:b/>
                <w:i/>
                <w:iCs/>
                <w:sz w:val="24"/>
                <w:szCs w:val="24"/>
              </w:rPr>
            </w:pPr>
            <w:hyperlink r:id="rId16" w:history="1">
              <w:r w:rsidR="0022569E" w:rsidRPr="00A1254B">
                <w:rPr>
                  <w:rStyle w:val="Hyperlink"/>
                  <w:sz w:val="24"/>
                  <w:szCs w:val="24"/>
                </w:rPr>
                <w:t>Workshops Calendar</w:t>
              </w:r>
            </w:hyperlink>
          </w:p>
        </w:tc>
        <w:tc>
          <w:tcPr>
            <w:tcW w:w="1479" w:type="dxa"/>
            <w:vMerge w:val="restart"/>
            <w:tcBorders>
              <w:top w:val="single" w:sz="12" w:space="0" w:color="auto"/>
            </w:tcBorders>
            <w:vAlign w:val="center"/>
          </w:tcPr>
          <w:p w:rsidR="0022569E" w:rsidRPr="00347E61" w:rsidRDefault="001D73FB" w:rsidP="002719E0">
            <w:pPr>
              <w:jc w:val="center"/>
              <w:rPr>
                <w:rFonts w:eastAsiaTheme="minorHAnsi" w:cstheme="minorBidi"/>
                <w:sz w:val="24"/>
                <w:szCs w:val="24"/>
              </w:rPr>
            </w:pPr>
            <w:hyperlink r:id="rId17" w:history="1">
              <w:r w:rsidR="0022569E">
                <w:rPr>
                  <w:rStyle w:val="Hyperlink"/>
                  <w:sz w:val="24"/>
                  <w:szCs w:val="24"/>
                </w:rPr>
                <w:t>Institutional Review Board</w:t>
              </w:r>
            </w:hyperlink>
          </w:p>
        </w:tc>
        <w:tc>
          <w:tcPr>
            <w:tcW w:w="1454" w:type="dxa"/>
            <w:gridSpan w:val="2"/>
            <w:vMerge w:val="restart"/>
            <w:tcBorders>
              <w:top w:val="single" w:sz="12" w:space="0" w:color="auto"/>
            </w:tcBorders>
            <w:vAlign w:val="center"/>
          </w:tcPr>
          <w:p w:rsidR="0022569E" w:rsidRPr="00347E61" w:rsidRDefault="001D73FB" w:rsidP="002719E0">
            <w:pPr>
              <w:jc w:val="center"/>
              <w:rPr>
                <w:color w:val="0000FF"/>
                <w:sz w:val="24"/>
                <w:szCs w:val="24"/>
                <w:u w:val="single"/>
              </w:rPr>
            </w:pPr>
            <w:hyperlink r:id="rId18" w:history="1">
              <w:r w:rsidR="0022569E">
                <w:rPr>
                  <w:rStyle w:val="Hyperlink"/>
                  <w:sz w:val="24"/>
                  <w:szCs w:val="24"/>
                </w:rPr>
                <w:t>Preparing Proposals</w:t>
              </w:r>
            </w:hyperlink>
          </w:p>
        </w:tc>
        <w:tc>
          <w:tcPr>
            <w:tcW w:w="1676" w:type="dxa"/>
            <w:gridSpan w:val="2"/>
            <w:vMerge w:val="restart"/>
            <w:tcBorders>
              <w:top w:val="single" w:sz="12" w:space="0" w:color="auto"/>
            </w:tcBorders>
            <w:vAlign w:val="center"/>
          </w:tcPr>
          <w:p w:rsidR="0022569E" w:rsidRPr="00347E61" w:rsidRDefault="001D73FB" w:rsidP="002719E0">
            <w:pPr>
              <w:jc w:val="center"/>
              <w:rPr>
                <w:rFonts w:eastAsiaTheme="minorHAnsi" w:cstheme="minorBidi"/>
                <w:sz w:val="24"/>
                <w:szCs w:val="24"/>
              </w:rPr>
            </w:pPr>
            <w:hyperlink r:id="rId19" w:history="1">
              <w:r w:rsidR="0022569E">
                <w:rPr>
                  <w:rStyle w:val="Hyperlink"/>
                  <w:sz w:val="24"/>
                  <w:szCs w:val="24"/>
                </w:rPr>
                <w:t>Proposal Writing Resources</w:t>
              </w:r>
            </w:hyperlink>
          </w:p>
        </w:tc>
        <w:tc>
          <w:tcPr>
            <w:tcW w:w="1454" w:type="dxa"/>
            <w:gridSpan w:val="3"/>
            <w:vMerge w:val="restart"/>
            <w:tcBorders>
              <w:top w:val="single" w:sz="12" w:space="0" w:color="auto"/>
            </w:tcBorders>
            <w:vAlign w:val="center"/>
          </w:tcPr>
          <w:p w:rsidR="0022569E" w:rsidRPr="00347E61" w:rsidRDefault="001D73FB" w:rsidP="002719E0">
            <w:pPr>
              <w:jc w:val="center"/>
              <w:rPr>
                <w:rFonts w:eastAsiaTheme="minorHAnsi" w:cstheme="minorBidi"/>
                <w:sz w:val="24"/>
                <w:szCs w:val="24"/>
              </w:rPr>
            </w:pPr>
            <w:hyperlink r:id="rId20" w:history="1">
              <w:r w:rsidR="0022569E">
                <w:rPr>
                  <w:rStyle w:val="Hyperlink"/>
                  <w:sz w:val="24"/>
                  <w:szCs w:val="24"/>
                </w:rPr>
                <w:t>Recent Awards</w:t>
              </w:r>
            </w:hyperlink>
          </w:p>
        </w:tc>
        <w:tc>
          <w:tcPr>
            <w:tcW w:w="2452" w:type="dxa"/>
            <w:gridSpan w:val="4"/>
            <w:tcBorders>
              <w:top w:val="single" w:sz="12" w:space="0" w:color="auto"/>
            </w:tcBorders>
            <w:vAlign w:val="bottom"/>
          </w:tcPr>
          <w:p w:rsidR="0022569E" w:rsidRPr="00876AA8" w:rsidRDefault="0022569E" w:rsidP="00934DA4">
            <w:pPr>
              <w:jc w:val="center"/>
              <w:rPr>
                <w:rFonts w:asciiTheme="minorHAnsi" w:hAnsiTheme="minorHAnsi" w:cs="Arial"/>
                <w:b/>
                <w:i/>
                <w:iCs/>
              </w:rPr>
            </w:pPr>
            <w:r w:rsidRPr="00876AA8">
              <w:rPr>
                <w:b/>
                <w:bCs/>
                <w:u w:val="single"/>
              </w:rPr>
              <w:t>Office Hours</w:t>
            </w:r>
          </w:p>
        </w:tc>
      </w:tr>
      <w:tr w:rsidR="0022569E" w:rsidTr="0022569E">
        <w:trPr>
          <w:trHeight w:val="249"/>
        </w:trPr>
        <w:tc>
          <w:tcPr>
            <w:tcW w:w="1454" w:type="dxa"/>
            <w:vMerge/>
            <w:vAlign w:val="center"/>
          </w:tcPr>
          <w:p w:rsidR="0022569E" w:rsidRDefault="0022569E" w:rsidP="002719E0">
            <w:pPr>
              <w:jc w:val="center"/>
            </w:pPr>
          </w:p>
        </w:tc>
        <w:tc>
          <w:tcPr>
            <w:tcW w:w="1479" w:type="dxa"/>
            <w:vMerge/>
            <w:vAlign w:val="center"/>
          </w:tcPr>
          <w:p w:rsidR="0022569E" w:rsidRDefault="0022569E" w:rsidP="002719E0">
            <w:pPr>
              <w:jc w:val="center"/>
            </w:pPr>
          </w:p>
        </w:tc>
        <w:tc>
          <w:tcPr>
            <w:tcW w:w="1454" w:type="dxa"/>
            <w:gridSpan w:val="2"/>
            <w:vMerge/>
            <w:vAlign w:val="center"/>
          </w:tcPr>
          <w:p w:rsidR="0022569E" w:rsidRDefault="0022569E" w:rsidP="002719E0">
            <w:pPr>
              <w:jc w:val="center"/>
            </w:pPr>
          </w:p>
        </w:tc>
        <w:tc>
          <w:tcPr>
            <w:tcW w:w="1676" w:type="dxa"/>
            <w:gridSpan w:val="2"/>
            <w:vMerge/>
            <w:vAlign w:val="center"/>
          </w:tcPr>
          <w:p w:rsidR="0022569E" w:rsidRDefault="0022569E" w:rsidP="002719E0">
            <w:pPr>
              <w:jc w:val="center"/>
            </w:pPr>
          </w:p>
        </w:tc>
        <w:tc>
          <w:tcPr>
            <w:tcW w:w="1454" w:type="dxa"/>
            <w:gridSpan w:val="3"/>
            <w:vMerge/>
            <w:vAlign w:val="center"/>
          </w:tcPr>
          <w:p w:rsidR="0022569E" w:rsidRDefault="0022569E" w:rsidP="002719E0">
            <w:pPr>
              <w:jc w:val="center"/>
            </w:pPr>
          </w:p>
        </w:tc>
        <w:tc>
          <w:tcPr>
            <w:tcW w:w="1062" w:type="dxa"/>
            <w:vAlign w:val="center"/>
          </w:tcPr>
          <w:p w:rsidR="0022569E" w:rsidRPr="001755A8" w:rsidRDefault="0022569E" w:rsidP="002719E0">
            <w:pPr>
              <w:rPr>
                <w:rFonts w:eastAsiaTheme="minorHAnsi"/>
                <w:sz w:val="20"/>
                <w:szCs w:val="20"/>
              </w:rPr>
            </w:pPr>
            <w:r w:rsidRPr="001755A8">
              <w:rPr>
                <w:sz w:val="20"/>
                <w:szCs w:val="20"/>
              </w:rPr>
              <w:t>Monday:      </w:t>
            </w:r>
          </w:p>
        </w:tc>
        <w:tc>
          <w:tcPr>
            <w:tcW w:w="1390" w:type="dxa"/>
            <w:gridSpan w:val="3"/>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171"/>
        </w:trPr>
        <w:tc>
          <w:tcPr>
            <w:tcW w:w="1454" w:type="dxa"/>
            <w:vMerge/>
            <w:vAlign w:val="center"/>
          </w:tcPr>
          <w:p w:rsidR="0022569E" w:rsidRDefault="0022569E" w:rsidP="002719E0">
            <w:pPr>
              <w:jc w:val="center"/>
            </w:pPr>
          </w:p>
        </w:tc>
        <w:tc>
          <w:tcPr>
            <w:tcW w:w="1479" w:type="dxa"/>
            <w:vMerge/>
            <w:vAlign w:val="center"/>
          </w:tcPr>
          <w:p w:rsidR="0022569E" w:rsidRDefault="0022569E" w:rsidP="002719E0">
            <w:pPr>
              <w:jc w:val="center"/>
            </w:pPr>
          </w:p>
        </w:tc>
        <w:tc>
          <w:tcPr>
            <w:tcW w:w="1454" w:type="dxa"/>
            <w:gridSpan w:val="2"/>
            <w:vMerge/>
            <w:vAlign w:val="center"/>
          </w:tcPr>
          <w:p w:rsidR="0022569E" w:rsidRDefault="0022569E" w:rsidP="002719E0">
            <w:pPr>
              <w:jc w:val="center"/>
            </w:pPr>
          </w:p>
        </w:tc>
        <w:tc>
          <w:tcPr>
            <w:tcW w:w="1676" w:type="dxa"/>
            <w:gridSpan w:val="2"/>
            <w:vMerge/>
            <w:vAlign w:val="center"/>
          </w:tcPr>
          <w:p w:rsidR="0022569E" w:rsidRDefault="0022569E" w:rsidP="002719E0">
            <w:pPr>
              <w:jc w:val="center"/>
            </w:pPr>
          </w:p>
        </w:tc>
        <w:tc>
          <w:tcPr>
            <w:tcW w:w="1454" w:type="dxa"/>
            <w:gridSpan w:val="3"/>
            <w:vMerge/>
            <w:vAlign w:val="center"/>
          </w:tcPr>
          <w:p w:rsidR="0022569E" w:rsidRDefault="0022569E" w:rsidP="002719E0">
            <w:pPr>
              <w:jc w:val="center"/>
            </w:pPr>
          </w:p>
        </w:tc>
        <w:tc>
          <w:tcPr>
            <w:tcW w:w="1062" w:type="dxa"/>
            <w:shd w:val="clear" w:color="auto" w:fill="D9D9D9" w:themeFill="background1" w:themeFillShade="D9"/>
            <w:vAlign w:val="center"/>
          </w:tcPr>
          <w:p w:rsidR="0022569E" w:rsidRPr="001755A8" w:rsidRDefault="0022569E" w:rsidP="002719E0">
            <w:pPr>
              <w:rPr>
                <w:rFonts w:eastAsiaTheme="minorHAnsi"/>
                <w:sz w:val="20"/>
                <w:szCs w:val="20"/>
              </w:rPr>
            </w:pPr>
            <w:r w:rsidRPr="001755A8">
              <w:rPr>
                <w:sz w:val="20"/>
                <w:szCs w:val="20"/>
              </w:rPr>
              <w:t>Tuesday:      </w:t>
            </w:r>
          </w:p>
        </w:tc>
        <w:tc>
          <w:tcPr>
            <w:tcW w:w="1390" w:type="dxa"/>
            <w:gridSpan w:val="3"/>
            <w:shd w:val="clear" w:color="auto" w:fill="D9D9D9" w:themeFill="background1" w:themeFillShade="D9"/>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249"/>
        </w:trPr>
        <w:tc>
          <w:tcPr>
            <w:tcW w:w="1454" w:type="dxa"/>
            <w:vMerge/>
          </w:tcPr>
          <w:p w:rsidR="0022569E" w:rsidRPr="00043D76" w:rsidRDefault="0022569E" w:rsidP="002719E0">
            <w:pPr>
              <w:jc w:val="center"/>
              <w:rPr>
                <w:sz w:val="24"/>
                <w:szCs w:val="24"/>
              </w:rPr>
            </w:pPr>
          </w:p>
        </w:tc>
        <w:tc>
          <w:tcPr>
            <w:tcW w:w="1479" w:type="dxa"/>
            <w:vMerge/>
          </w:tcPr>
          <w:p w:rsidR="0022569E" w:rsidRPr="00043D76" w:rsidRDefault="0022569E" w:rsidP="002719E0">
            <w:pPr>
              <w:jc w:val="center"/>
              <w:rPr>
                <w:sz w:val="24"/>
                <w:szCs w:val="24"/>
              </w:rPr>
            </w:pPr>
          </w:p>
        </w:tc>
        <w:tc>
          <w:tcPr>
            <w:tcW w:w="1454" w:type="dxa"/>
            <w:gridSpan w:val="2"/>
            <w:vMerge/>
          </w:tcPr>
          <w:p w:rsidR="0022569E" w:rsidRPr="00043D76" w:rsidRDefault="0022569E" w:rsidP="002719E0">
            <w:pPr>
              <w:jc w:val="center"/>
              <w:rPr>
                <w:sz w:val="24"/>
                <w:szCs w:val="24"/>
              </w:rPr>
            </w:pPr>
          </w:p>
        </w:tc>
        <w:tc>
          <w:tcPr>
            <w:tcW w:w="1676" w:type="dxa"/>
            <w:gridSpan w:val="2"/>
            <w:vMerge/>
          </w:tcPr>
          <w:p w:rsidR="0022569E" w:rsidRPr="00043D76" w:rsidRDefault="0022569E" w:rsidP="002719E0">
            <w:pPr>
              <w:jc w:val="center"/>
              <w:rPr>
                <w:sz w:val="24"/>
                <w:szCs w:val="24"/>
              </w:rPr>
            </w:pPr>
          </w:p>
        </w:tc>
        <w:tc>
          <w:tcPr>
            <w:tcW w:w="1454" w:type="dxa"/>
            <w:gridSpan w:val="3"/>
            <w:vMerge/>
          </w:tcPr>
          <w:p w:rsidR="0022569E" w:rsidRPr="00043D76" w:rsidRDefault="0022569E" w:rsidP="002719E0">
            <w:pPr>
              <w:jc w:val="center"/>
              <w:rPr>
                <w:sz w:val="24"/>
                <w:szCs w:val="24"/>
              </w:rPr>
            </w:pPr>
          </w:p>
        </w:tc>
        <w:tc>
          <w:tcPr>
            <w:tcW w:w="1062" w:type="dxa"/>
            <w:vAlign w:val="center"/>
          </w:tcPr>
          <w:p w:rsidR="0022569E" w:rsidRPr="001755A8" w:rsidRDefault="0022569E" w:rsidP="002719E0">
            <w:pPr>
              <w:rPr>
                <w:rFonts w:eastAsiaTheme="minorHAnsi"/>
                <w:sz w:val="20"/>
                <w:szCs w:val="20"/>
              </w:rPr>
            </w:pPr>
            <w:r w:rsidRPr="001755A8">
              <w:rPr>
                <w:sz w:val="20"/>
                <w:szCs w:val="20"/>
              </w:rPr>
              <w:t>Wednesday:</w:t>
            </w:r>
          </w:p>
        </w:tc>
        <w:tc>
          <w:tcPr>
            <w:tcW w:w="1390" w:type="dxa"/>
            <w:gridSpan w:val="3"/>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249"/>
        </w:trPr>
        <w:tc>
          <w:tcPr>
            <w:tcW w:w="1454" w:type="dxa"/>
            <w:vMerge/>
            <w:vAlign w:val="center"/>
          </w:tcPr>
          <w:p w:rsidR="0022569E" w:rsidRDefault="0022569E" w:rsidP="002719E0">
            <w:pPr>
              <w:jc w:val="center"/>
            </w:pPr>
          </w:p>
        </w:tc>
        <w:tc>
          <w:tcPr>
            <w:tcW w:w="1479" w:type="dxa"/>
            <w:vMerge/>
            <w:vAlign w:val="center"/>
          </w:tcPr>
          <w:p w:rsidR="0022569E" w:rsidRDefault="0022569E" w:rsidP="002719E0">
            <w:pPr>
              <w:jc w:val="center"/>
            </w:pPr>
          </w:p>
        </w:tc>
        <w:tc>
          <w:tcPr>
            <w:tcW w:w="1454" w:type="dxa"/>
            <w:gridSpan w:val="2"/>
            <w:vMerge/>
            <w:vAlign w:val="center"/>
          </w:tcPr>
          <w:p w:rsidR="0022569E" w:rsidRDefault="0022569E" w:rsidP="002719E0">
            <w:pPr>
              <w:jc w:val="center"/>
            </w:pPr>
          </w:p>
        </w:tc>
        <w:tc>
          <w:tcPr>
            <w:tcW w:w="1676" w:type="dxa"/>
            <w:gridSpan w:val="2"/>
            <w:vMerge/>
            <w:vAlign w:val="center"/>
          </w:tcPr>
          <w:p w:rsidR="0022569E" w:rsidRDefault="0022569E" w:rsidP="002719E0">
            <w:pPr>
              <w:jc w:val="center"/>
            </w:pPr>
          </w:p>
        </w:tc>
        <w:tc>
          <w:tcPr>
            <w:tcW w:w="1454" w:type="dxa"/>
            <w:gridSpan w:val="3"/>
            <w:vMerge/>
            <w:vAlign w:val="center"/>
          </w:tcPr>
          <w:p w:rsidR="0022569E" w:rsidRDefault="0022569E" w:rsidP="002719E0">
            <w:pPr>
              <w:jc w:val="center"/>
            </w:pPr>
          </w:p>
        </w:tc>
        <w:tc>
          <w:tcPr>
            <w:tcW w:w="1062" w:type="dxa"/>
            <w:shd w:val="clear" w:color="auto" w:fill="D9D9D9" w:themeFill="background1" w:themeFillShade="D9"/>
            <w:vAlign w:val="center"/>
          </w:tcPr>
          <w:p w:rsidR="0022569E" w:rsidRPr="001755A8" w:rsidRDefault="0022569E" w:rsidP="002719E0">
            <w:pPr>
              <w:rPr>
                <w:rFonts w:eastAsiaTheme="minorHAnsi"/>
                <w:sz w:val="20"/>
                <w:szCs w:val="20"/>
              </w:rPr>
            </w:pPr>
            <w:r w:rsidRPr="001755A8">
              <w:rPr>
                <w:sz w:val="20"/>
                <w:szCs w:val="20"/>
              </w:rPr>
              <w:t>Thursday:    </w:t>
            </w:r>
          </w:p>
        </w:tc>
        <w:tc>
          <w:tcPr>
            <w:tcW w:w="1390" w:type="dxa"/>
            <w:gridSpan w:val="3"/>
            <w:shd w:val="clear" w:color="auto" w:fill="D9D9D9" w:themeFill="background1" w:themeFillShade="D9"/>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283"/>
        </w:trPr>
        <w:tc>
          <w:tcPr>
            <w:tcW w:w="1454" w:type="dxa"/>
            <w:vMerge/>
            <w:tcBorders>
              <w:bottom w:val="single" w:sz="12" w:space="0" w:color="auto"/>
            </w:tcBorders>
            <w:vAlign w:val="center"/>
          </w:tcPr>
          <w:p w:rsidR="0022569E" w:rsidRDefault="0022569E" w:rsidP="002719E0">
            <w:pPr>
              <w:jc w:val="center"/>
            </w:pPr>
          </w:p>
        </w:tc>
        <w:tc>
          <w:tcPr>
            <w:tcW w:w="1479" w:type="dxa"/>
            <w:vMerge/>
            <w:tcBorders>
              <w:bottom w:val="single" w:sz="12" w:space="0" w:color="auto"/>
            </w:tcBorders>
            <w:vAlign w:val="center"/>
          </w:tcPr>
          <w:p w:rsidR="0022569E" w:rsidRDefault="0022569E" w:rsidP="002719E0">
            <w:pPr>
              <w:jc w:val="center"/>
            </w:pPr>
          </w:p>
        </w:tc>
        <w:tc>
          <w:tcPr>
            <w:tcW w:w="1454" w:type="dxa"/>
            <w:gridSpan w:val="2"/>
            <w:vMerge/>
            <w:tcBorders>
              <w:bottom w:val="single" w:sz="12" w:space="0" w:color="auto"/>
            </w:tcBorders>
            <w:vAlign w:val="center"/>
          </w:tcPr>
          <w:p w:rsidR="0022569E" w:rsidRDefault="0022569E" w:rsidP="002719E0">
            <w:pPr>
              <w:jc w:val="center"/>
            </w:pPr>
          </w:p>
        </w:tc>
        <w:tc>
          <w:tcPr>
            <w:tcW w:w="1676" w:type="dxa"/>
            <w:gridSpan w:val="2"/>
            <w:vMerge/>
            <w:tcBorders>
              <w:bottom w:val="single" w:sz="12" w:space="0" w:color="auto"/>
            </w:tcBorders>
            <w:vAlign w:val="center"/>
          </w:tcPr>
          <w:p w:rsidR="0022569E" w:rsidRDefault="0022569E" w:rsidP="002719E0">
            <w:pPr>
              <w:jc w:val="center"/>
            </w:pPr>
          </w:p>
        </w:tc>
        <w:tc>
          <w:tcPr>
            <w:tcW w:w="1454" w:type="dxa"/>
            <w:gridSpan w:val="3"/>
            <w:vMerge/>
            <w:tcBorders>
              <w:bottom w:val="single" w:sz="12" w:space="0" w:color="auto"/>
            </w:tcBorders>
            <w:vAlign w:val="center"/>
          </w:tcPr>
          <w:p w:rsidR="0022569E" w:rsidRDefault="0022569E" w:rsidP="002719E0">
            <w:pPr>
              <w:jc w:val="center"/>
            </w:pPr>
          </w:p>
        </w:tc>
        <w:tc>
          <w:tcPr>
            <w:tcW w:w="1062" w:type="dxa"/>
            <w:tcBorders>
              <w:bottom w:val="single" w:sz="12" w:space="0" w:color="auto"/>
            </w:tcBorders>
            <w:vAlign w:val="center"/>
          </w:tcPr>
          <w:p w:rsidR="0022569E" w:rsidRPr="001755A8" w:rsidRDefault="0022569E" w:rsidP="00934DA4">
            <w:pPr>
              <w:rPr>
                <w:rFonts w:eastAsiaTheme="minorHAnsi"/>
                <w:sz w:val="20"/>
                <w:szCs w:val="20"/>
              </w:rPr>
            </w:pPr>
            <w:r w:rsidRPr="001755A8">
              <w:rPr>
                <w:sz w:val="20"/>
                <w:szCs w:val="20"/>
              </w:rPr>
              <w:t>Friday:          </w:t>
            </w:r>
          </w:p>
        </w:tc>
        <w:tc>
          <w:tcPr>
            <w:tcW w:w="1390" w:type="dxa"/>
            <w:gridSpan w:val="3"/>
            <w:tcBorders>
              <w:bottom w:val="single" w:sz="12" w:space="0" w:color="auto"/>
            </w:tcBorders>
          </w:tcPr>
          <w:p w:rsidR="0022569E" w:rsidRPr="001755A8" w:rsidRDefault="0022569E" w:rsidP="00934DA4">
            <w:pPr>
              <w:jc w:val="center"/>
              <w:rPr>
                <w:rFonts w:eastAsiaTheme="minorHAnsi"/>
                <w:sz w:val="20"/>
                <w:szCs w:val="20"/>
              </w:rPr>
            </w:pPr>
            <w:r w:rsidRPr="001755A8">
              <w:rPr>
                <w:sz w:val="20"/>
                <w:szCs w:val="20"/>
              </w:rPr>
              <w:t>8:30-4:30</w:t>
            </w:r>
          </w:p>
        </w:tc>
      </w:tr>
    </w:tbl>
    <w:p w:rsidR="00BA6317" w:rsidRDefault="00BA6317"/>
    <w:p w:rsidR="00D94779" w:rsidRDefault="00D94779"/>
    <w:p w:rsidR="00D94779" w:rsidRDefault="00D94779"/>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4F20C2" w:rsidRDefault="004F20C2" w:rsidP="00A2599C">
      <w:pPr>
        <w:rPr>
          <w:b/>
          <w:sz w:val="28"/>
          <w:szCs w:val="28"/>
          <w:u w:val="single"/>
        </w:rPr>
      </w:pPr>
    </w:p>
    <w:p w:rsidR="004F20C2" w:rsidRDefault="004F20C2" w:rsidP="00A2599C">
      <w:pPr>
        <w:rPr>
          <w:b/>
          <w:sz w:val="28"/>
          <w:szCs w:val="28"/>
          <w:u w:val="single"/>
        </w:rPr>
      </w:pPr>
    </w:p>
    <w:p w:rsidR="0000050F" w:rsidRPr="0000050F" w:rsidRDefault="0000050F" w:rsidP="0000050F">
      <w:pPr>
        <w:rPr>
          <w:rFonts w:cs="Arial"/>
          <w:b/>
          <w:sz w:val="28"/>
          <w:szCs w:val="28"/>
          <w:u w:val="single"/>
        </w:rPr>
      </w:pPr>
      <w:bookmarkStart w:id="1" w:name="art"/>
      <w:r w:rsidRPr="0000050F">
        <w:rPr>
          <w:rFonts w:cs="Arial"/>
          <w:b/>
          <w:sz w:val="28"/>
          <w:szCs w:val="28"/>
          <w:u w:val="single"/>
        </w:rPr>
        <w:t>Art and Communication</w:t>
      </w:r>
    </w:p>
    <w:bookmarkEnd w:id="1"/>
    <w:p w:rsidR="00A2599C" w:rsidRDefault="0000050F" w:rsidP="00A2599C">
      <w:pPr>
        <w:pStyle w:val="PlainText"/>
        <w:rPr>
          <w:rFonts w:asciiTheme="minorHAnsi" w:hAnsiTheme="minorHAnsi"/>
          <w:sz w:val="22"/>
          <w:szCs w:val="22"/>
        </w:rPr>
      </w:pPr>
      <w:r>
        <w:rPr>
          <w:rFonts w:asciiTheme="minorHAnsi" w:hAnsiTheme="minorHAnsi"/>
          <w:b/>
          <w:sz w:val="22"/>
          <w:szCs w:val="22"/>
        </w:rPr>
        <w:br/>
        <w:t xml:space="preserve">NEA GAP: Art Works II, FY 2015; </w:t>
      </w:r>
      <w:r w:rsidRPr="0000050F">
        <w:rPr>
          <w:rFonts w:asciiTheme="minorHAnsi" w:hAnsiTheme="minorHAnsi"/>
          <w:b/>
          <w:sz w:val="22"/>
          <w:szCs w:val="22"/>
        </w:rPr>
        <w:t>National Endowment for the Arts (NEA)</w:t>
      </w:r>
      <w:r>
        <w:rPr>
          <w:rFonts w:asciiTheme="minorHAnsi" w:hAnsiTheme="minorHAnsi"/>
          <w:sz w:val="22"/>
          <w:szCs w:val="22"/>
        </w:rPr>
        <w:t xml:space="preserve"> </w:t>
      </w:r>
      <w:r w:rsidRPr="0000050F">
        <w:rPr>
          <w:rFonts w:asciiTheme="minorHAnsi" w:hAnsiTheme="minorHAnsi"/>
          <w:sz w:val="22"/>
          <w:szCs w:val="22"/>
        </w:rPr>
        <w:t>seek</w:t>
      </w:r>
      <w:r>
        <w:rPr>
          <w:rFonts w:asciiTheme="minorHAnsi" w:hAnsiTheme="minorHAnsi"/>
          <w:sz w:val="22"/>
          <w:szCs w:val="22"/>
        </w:rPr>
        <w:t>s</w:t>
      </w:r>
      <w:r w:rsidRPr="0000050F">
        <w:rPr>
          <w:rFonts w:asciiTheme="minorHAnsi" w:hAnsiTheme="minorHAnsi"/>
          <w:sz w:val="22"/>
          <w:szCs w:val="22"/>
        </w:rPr>
        <w:t xml:space="preserve"> applications to fund innovative new or existing art projects in a variety of disciplines that meat high standards of excellence, engage the public, encourage lifelong learning in the arts, and strengthe</w:t>
      </w:r>
      <w:r>
        <w:rPr>
          <w:rFonts w:asciiTheme="minorHAnsi" w:hAnsiTheme="minorHAnsi"/>
          <w:sz w:val="22"/>
          <w:szCs w:val="22"/>
        </w:rPr>
        <w:t xml:space="preserve">n communities through the arts. </w:t>
      </w:r>
      <w:r w:rsidRPr="0000050F">
        <w:rPr>
          <w:rFonts w:asciiTheme="minorHAnsi" w:hAnsiTheme="minorHAnsi"/>
          <w:sz w:val="22"/>
          <w:szCs w:val="22"/>
        </w:rPr>
        <w:t xml:space="preserve">Applications are due July 24, 2014. </w:t>
      </w:r>
      <w:r>
        <w:rPr>
          <w:rFonts w:asciiTheme="minorHAnsi" w:hAnsiTheme="minorHAnsi"/>
          <w:sz w:val="22"/>
          <w:szCs w:val="22"/>
        </w:rPr>
        <w:t xml:space="preserve">For more information, visit </w:t>
      </w:r>
      <w:hyperlink r:id="rId21" w:history="1">
        <w:r w:rsidRPr="0000050F">
          <w:rPr>
            <w:rStyle w:val="Hyperlink"/>
            <w:rFonts w:asciiTheme="minorHAnsi" w:hAnsiTheme="minorHAnsi"/>
            <w:sz w:val="22"/>
            <w:szCs w:val="22"/>
          </w:rPr>
          <w:t>Solicitation</w:t>
        </w:r>
      </w:hyperlink>
      <w:r w:rsidRPr="0000050F">
        <w:rPr>
          <w:rFonts w:asciiTheme="minorHAnsi" w:hAnsiTheme="minorHAnsi"/>
          <w:sz w:val="22"/>
          <w:szCs w:val="22"/>
        </w:rPr>
        <w:t xml:space="preserve">, </w:t>
      </w:r>
      <w:hyperlink r:id="rId22" w:history="1">
        <w:r w:rsidRPr="0000050F">
          <w:rPr>
            <w:rStyle w:val="Hyperlink"/>
            <w:rFonts w:asciiTheme="minorHAnsi" w:hAnsiTheme="minorHAnsi"/>
            <w:sz w:val="22"/>
            <w:szCs w:val="22"/>
          </w:rPr>
          <w:t>Grants.gov</w:t>
        </w:r>
      </w:hyperlink>
    </w:p>
    <w:p w:rsidR="0000050F" w:rsidRPr="00E07619" w:rsidRDefault="0000050F" w:rsidP="00A2599C">
      <w:pPr>
        <w:pStyle w:val="PlainText"/>
        <w:pBdr>
          <w:bottom w:val="single" w:sz="6" w:space="1" w:color="auto"/>
        </w:pBdr>
        <w:rPr>
          <w:rFonts w:asciiTheme="minorHAnsi" w:hAnsiTheme="minorHAnsi"/>
          <w:sz w:val="20"/>
          <w:szCs w:val="22"/>
        </w:rPr>
      </w:pPr>
    </w:p>
    <w:p w:rsidR="0000050F" w:rsidRPr="00E07619" w:rsidRDefault="0000050F" w:rsidP="00A2599C">
      <w:pPr>
        <w:pStyle w:val="PlainText"/>
        <w:rPr>
          <w:rFonts w:asciiTheme="minorHAnsi" w:hAnsiTheme="minorHAnsi"/>
          <w:sz w:val="20"/>
          <w:szCs w:val="22"/>
        </w:rPr>
      </w:pPr>
    </w:p>
    <w:p w:rsidR="00A2599C" w:rsidRDefault="00A2599C" w:rsidP="00A2599C">
      <w:pPr>
        <w:pStyle w:val="PlainText"/>
        <w:rPr>
          <w:rFonts w:ascii="Calibri" w:hAnsi="Calibri"/>
          <w:b/>
          <w:sz w:val="28"/>
          <w:szCs w:val="28"/>
          <w:u w:val="single"/>
        </w:rPr>
      </w:pPr>
      <w:bookmarkStart w:id="2" w:name="edu"/>
      <w:r>
        <w:rPr>
          <w:rFonts w:ascii="Calibri" w:hAnsi="Calibri"/>
          <w:b/>
          <w:sz w:val="28"/>
          <w:szCs w:val="28"/>
          <w:u w:val="single"/>
        </w:rPr>
        <w:t>Education</w:t>
      </w:r>
    </w:p>
    <w:p w:rsidR="00086A5A" w:rsidRPr="008706D1" w:rsidRDefault="00086A5A" w:rsidP="00086A5A">
      <w:pPr>
        <w:pStyle w:val="NormalWeb"/>
        <w:spacing w:before="0" w:after="0" w:line="240" w:lineRule="auto"/>
        <w:rPr>
          <w:rFonts w:ascii="Times New Roman" w:eastAsiaTheme="minorHAnsi" w:hAnsi="Times New Roman" w:cs="Times New Roman"/>
          <w:b/>
          <w:sz w:val="20"/>
          <w:szCs w:val="20"/>
        </w:rPr>
      </w:pPr>
    </w:p>
    <w:p w:rsidR="00A2599C" w:rsidRPr="00086A5A" w:rsidRDefault="00086A5A" w:rsidP="00086A5A">
      <w:pPr>
        <w:pStyle w:val="NormalWeb"/>
        <w:spacing w:before="0" w:after="0" w:line="240" w:lineRule="auto"/>
        <w:rPr>
          <w:rFonts w:asciiTheme="minorHAnsi" w:eastAsiaTheme="minorHAnsi" w:hAnsiTheme="minorHAnsi" w:cs="Times New Roman"/>
          <w:b/>
          <w:sz w:val="22"/>
        </w:rPr>
      </w:pPr>
      <w:r w:rsidRPr="00086A5A">
        <w:rPr>
          <w:rFonts w:asciiTheme="minorHAnsi" w:eastAsiaTheme="minorHAnsi" w:hAnsiTheme="minorHAnsi" w:cs="Times New Roman"/>
          <w:b/>
          <w:sz w:val="22"/>
          <w:szCs w:val="20"/>
        </w:rPr>
        <w:t>GEAR UP</w:t>
      </w:r>
      <w:r w:rsidRPr="00086A5A">
        <w:rPr>
          <w:rFonts w:asciiTheme="minorHAnsi" w:eastAsiaTheme="minorHAnsi" w:hAnsiTheme="minorHAnsi" w:cs="Times New Roman"/>
          <w:b/>
          <w:sz w:val="22"/>
        </w:rPr>
        <w:t xml:space="preserve">; </w:t>
      </w:r>
      <w:r w:rsidRPr="00086A5A">
        <w:rPr>
          <w:rFonts w:asciiTheme="minorHAnsi" w:eastAsiaTheme="minorHAnsi" w:hAnsiTheme="minorHAnsi" w:cs="Times New Roman"/>
          <w:b/>
          <w:sz w:val="22"/>
          <w:szCs w:val="20"/>
        </w:rPr>
        <w:t xml:space="preserve">U.S. Department of Education: </w:t>
      </w:r>
      <w:r w:rsidRPr="00086A5A">
        <w:rPr>
          <w:rFonts w:asciiTheme="minorHAnsi" w:eastAsiaTheme="minorHAnsi" w:hAnsiTheme="minorHAnsi" w:cs="Times New Roman"/>
          <w:sz w:val="22"/>
          <w:szCs w:val="20"/>
        </w:rPr>
        <w:t xml:space="preserve">supports partnerships offering college preparation and awareness activities to students beginning in seventh grade. Activities may include mentoring, counseling, curricula and staff development, and other services. Partnerships must include an IHE, an LEA representing secondary schools in low-income communities, and at least two other entities, such as community organizations and state agencies. Proposals are due July 7, 2014. For more information, visit </w:t>
      </w:r>
      <w:hyperlink r:id="rId23" w:history="1">
        <w:r w:rsidRPr="00086A5A">
          <w:rPr>
            <w:rStyle w:val="Hyperlink"/>
            <w:rFonts w:asciiTheme="minorHAnsi" w:eastAsiaTheme="minorHAnsi" w:hAnsiTheme="minorHAnsi" w:cs="Times New Roman"/>
            <w:sz w:val="22"/>
            <w:szCs w:val="20"/>
          </w:rPr>
          <w:t>Ed.gov</w:t>
        </w:r>
      </w:hyperlink>
    </w:p>
    <w:bookmarkEnd w:id="2"/>
    <w:p w:rsidR="00A2599C" w:rsidRDefault="00A2599C" w:rsidP="00A2599C">
      <w:pPr>
        <w:pStyle w:val="PlainText"/>
        <w:pBdr>
          <w:bottom w:val="single" w:sz="6" w:space="1" w:color="auto"/>
        </w:pBdr>
        <w:rPr>
          <w:rFonts w:ascii="Calibri" w:hAnsi="Calibri"/>
          <w:sz w:val="20"/>
          <w:szCs w:val="20"/>
        </w:rPr>
      </w:pPr>
    </w:p>
    <w:p w:rsidR="00A2599C" w:rsidRDefault="00A2599C" w:rsidP="00A2599C">
      <w:pPr>
        <w:pStyle w:val="PlainText"/>
        <w:rPr>
          <w:rFonts w:ascii="Calibri" w:hAnsi="Calibri" w:cs="Times New Roman"/>
          <w:sz w:val="20"/>
          <w:szCs w:val="20"/>
          <w:u w:val="single"/>
        </w:rPr>
      </w:pPr>
      <w:bookmarkStart w:id="3" w:name="hea"/>
    </w:p>
    <w:p w:rsidR="00A2599C" w:rsidRDefault="00A2599C" w:rsidP="00A2599C">
      <w:pPr>
        <w:pStyle w:val="PlainText"/>
        <w:rPr>
          <w:rFonts w:ascii="Calibri" w:hAnsi="Calibri" w:cs="Times New Roman"/>
          <w:b/>
          <w:sz w:val="28"/>
          <w:szCs w:val="28"/>
          <w:u w:val="single"/>
        </w:rPr>
      </w:pPr>
      <w:r>
        <w:rPr>
          <w:rFonts w:ascii="Calibri" w:hAnsi="Calibri" w:cs="Times New Roman"/>
          <w:b/>
          <w:sz w:val="28"/>
          <w:szCs w:val="28"/>
          <w:u w:val="single"/>
        </w:rPr>
        <w:t>Health</w:t>
      </w:r>
    </w:p>
    <w:bookmarkEnd w:id="3"/>
    <w:p w:rsidR="00A2599C" w:rsidRDefault="00A2599C" w:rsidP="00A2599C">
      <w:pPr>
        <w:pStyle w:val="PlainText"/>
        <w:pBdr>
          <w:bottom w:val="single" w:sz="6" w:space="1" w:color="auto"/>
        </w:pBdr>
        <w:rPr>
          <w:rFonts w:ascii="Calibri" w:hAnsi="Calibri"/>
          <w:sz w:val="20"/>
          <w:szCs w:val="20"/>
        </w:rPr>
      </w:pPr>
    </w:p>
    <w:p w:rsidR="00057389" w:rsidRPr="008706D1" w:rsidRDefault="00057389" w:rsidP="00A2599C">
      <w:pPr>
        <w:pStyle w:val="PlainText"/>
        <w:pBdr>
          <w:bottom w:val="single" w:sz="6" w:space="1" w:color="auto"/>
        </w:pBdr>
        <w:rPr>
          <w:rFonts w:asciiTheme="minorHAnsi" w:hAnsiTheme="minorHAnsi"/>
          <w:sz w:val="20"/>
          <w:szCs w:val="22"/>
        </w:rPr>
      </w:pPr>
      <w:proofErr w:type="spellStart"/>
      <w:r w:rsidRPr="004E477A">
        <w:rPr>
          <w:rFonts w:asciiTheme="minorHAnsi" w:hAnsiTheme="minorHAnsi"/>
          <w:b/>
          <w:sz w:val="22"/>
          <w:szCs w:val="22"/>
        </w:rPr>
        <w:t>DoD</w:t>
      </w:r>
      <w:proofErr w:type="spellEnd"/>
      <w:r w:rsidRPr="004E477A">
        <w:rPr>
          <w:rFonts w:asciiTheme="minorHAnsi" w:hAnsiTheme="minorHAnsi"/>
          <w:b/>
          <w:sz w:val="22"/>
          <w:szCs w:val="22"/>
        </w:rPr>
        <w:t xml:space="preserve"> Spinal Cord Injury (SCI); U.S. Department of Defense (DOD); Department of the Army; Defense Health Program</w:t>
      </w:r>
      <w:r w:rsidRPr="004E477A">
        <w:rPr>
          <w:rFonts w:asciiTheme="minorHAnsi" w:hAnsiTheme="minorHAnsi"/>
          <w:sz w:val="22"/>
          <w:szCs w:val="22"/>
        </w:rPr>
        <w:t xml:space="preserve">: seeks pre-applications to conduct innovative research that will foster new directions and address neglected issues in the field of SCI-focused research. Research is encouraged in three areas: pre-hospital and early hospital management; the development of new inventions to address consequences of and recovery from SCI; and identification and validation of best practices in SCI care. Applications involving multidisciplinary collaborations among academia, industry, the military Services, the Department of Veterans Affairs (VA), and other federal Government agencies are highly encouraged. Pre-applications are required by July 10, 2014. For more information, visit Investigator-Initiated Research Award: </w:t>
      </w:r>
      <w:hyperlink r:id="rId24" w:history="1">
        <w:r w:rsidRPr="004E477A">
          <w:rPr>
            <w:rStyle w:val="Hyperlink"/>
            <w:rFonts w:asciiTheme="minorHAnsi" w:hAnsiTheme="minorHAnsi"/>
            <w:sz w:val="22"/>
            <w:szCs w:val="22"/>
          </w:rPr>
          <w:t>Grants.gov</w:t>
        </w:r>
      </w:hyperlink>
      <w:r w:rsidRPr="004E477A">
        <w:rPr>
          <w:rFonts w:asciiTheme="minorHAnsi" w:hAnsiTheme="minorHAnsi"/>
          <w:sz w:val="22"/>
          <w:szCs w:val="22"/>
        </w:rPr>
        <w:t xml:space="preserve"> Qualitative Research Award</w:t>
      </w:r>
      <w:proofErr w:type="gramStart"/>
      <w:r w:rsidRPr="004E477A">
        <w:rPr>
          <w:rFonts w:asciiTheme="minorHAnsi" w:hAnsiTheme="minorHAnsi"/>
          <w:sz w:val="22"/>
          <w:szCs w:val="22"/>
        </w:rPr>
        <w:t>:</w:t>
      </w:r>
      <w:proofErr w:type="gramEnd"/>
      <w:r w:rsidR="006D5973">
        <w:fldChar w:fldCharType="begin"/>
      </w:r>
      <w:r w:rsidR="006D5973">
        <w:instrText xml:space="preserve"> HYPERLINK "http://www.mmsend65.com/link.cfm?r=1272232034&amp;sid=42011547&amp;m=4740444&amp;u=AASCU&amp;j=19234172&amp;s=http://www.grants.gov/view-opportunity.html?oppId=256730" </w:instrText>
      </w:r>
      <w:r w:rsidR="006D5973">
        <w:fldChar w:fldCharType="separate"/>
      </w:r>
      <w:r w:rsidRPr="004E477A">
        <w:rPr>
          <w:rStyle w:val="Hyperlink"/>
          <w:rFonts w:asciiTheme="minorHAnsi" w:hAnsiTheme="minorHAnsi"/>
          <w:sz w:val="22"/>
          <w:szCs w:val="22"/>
        </w:rPr>
        <w:t>Grants.gov</w:t>
      </w:r>
      <w:r w:rsidR="006D5973">
        <w:rPr>
          <w:rStyle w:val="Hyperlink"/>
          <w:rFonts w:asciiTheme="minorHAnsi" w:hAnsiTheme="minorHAnsi"/>
          <w:sz w:val="22"/>
          <w:szCs w:val="22"/>
        </w:rPr>
        <w:fldChar w:fldCharType="end"/>
      </w:r>
      <w:r w:rsidRPr="004E477A">
        <w:rPr>
          <w:rFonts w:asciiTheme="minorHAnsi" w:hAnsiTheme="minorHAnsi"/>
          <w:sz w:val="22"/>
          <w:szCs w:val="22"/>
        </w:rPr>
        <w:br/>
      </w:r>
    </w:p>
    <w:p w:rsidR="00A2599C" w:rsidRDefault="00A2599C" w:rsidP="00A2599C">
      <w:pPr>
        <w:pStyle w:val="PlainText"/>
        <w:rPr>
          <w:rFonts w:ascii="Calibri" w:hAnsi="Calibri" w:cs="Times New Roman"/>
          <w:sz w:val="20"/>
          <w:szCs w:val="20"/>
        </w:rPr>
      </w:pPr>
    </w:p>
    <w:p w:rsidR="00357456" w:rsidRDefault="00357456" w:rsidP="00357456">
      <w:pPr>
        <w:pStyle w:val="NormalWeb"/>
        <w:spacing w:before="0" w:after="0" w:line="240" w:lineRule="auto"/>
        <w:rPr>
          <w:rFonts w:asciiTheme="minorHAnsi" w:eastAsia="Calibri" w:hAnsiTheme="minorHAnsi"/>
          <w:sz w:val="22"/>
          <w:szCs w:val="22"/>
        </w:rPr>
      </w:pPr>
      <w:r w:rsidRPr="00357456">
        <w:rPr>
          <w:rFonts w:asciiTheme="minorHAnsi" w:eastAsia="Calibri" w:hAnsiTheme="minorHAnsi"/>
          <w:b/>
          <w:color w:val="auto"/>
          <w:sz w:val="22"/>
          <w:szCs w:val="22"/>
        </w:rPr>
        <w:t>Bridges to the Baccalaureate Program</w:t>
      </w:r>
      <w:r>
        <w:rPr>
          <w:rFonts w:asciiTheme="minorHAnsi" w:eastAsia="Calibri" w:hAnsiTheme="minorHAnsi"/>
          <w:b/>
          <w:color w:val="auto"/>
          <w:sz w:val="22"/>
          <w:szCs w:val="22"/>
        </w:rPr>
        <w:t xml:space="preserve">; </w:t>
      </w:r>
      <w:r w:rsidRPr="00357456">
        <w:rPr>
          <w:rFonts w:asciiTheme="minorHAnsi" w:eastAsia="Calibri" w:hAnsiTheme="minorHAnsi"/>
          <w:b/>
          <w:color w:val="auto"/>
          <w:sz w:val="22"/>
          <w:szCs w:val="22"/>
        </w:rPr>
        <w:t>National Institutes of Health</w:t>
      </w:r>
      <w:r>
        <w:rPr>
          <w:rFonts w:asciiTheme="minorHAnsi" w:eastAsia="Calibri" w:hAnsiTheme="minorHAnsi"/>
          <w:b/>
          <w:color w:val="auto"/>
          <w:sz w:val="22"/>
          <w:szCs w:val="22"/>
        </w:rPr>
        <w:t xml:space="preserve"> (NIH): </w:t>
      </w:r>
      <w:r>
        <w:rPr>
          <w:rFonts w:asciiTheme="minorHAnsi" w:hAnsiTheme="minorHAnsi"/>
          <w:sz w:val="22"/>
          <w:szCs w:val="22"/>
        </w:rPr>
        <w:t>s</w:t>
      </w:r>
      <w:r w:rsidRPr="00357456">
        <w:rPr>
          <w:rFonts w:asciiTheme="minorHAnsi" w:eastAsia="Calibri" w:hAnsiTheme="minorHAnsi"/>
          <w:sz w:val="22"/>
          <w:szCs w:val="22"/>
        </w:rPr>
        <w:t>upports partners</w:t>
      </w:r>
      <w:r>
        <w:rPr>
          <w:rFonts w:asciiTheme="minorHAnsi" w:eastAsia="Calibri" w:hAnsiTheme="minorHAnsi"/>
          <w:sz w:val="22"/>
          <w:szCs w:val="22"/>
        </w:rPr>
        <w:t>hips between two-year and four-</w:t>
      </w:r>
      <w:r w:rsidRPr="00357456">
        <w:rPr>
          <w:rFonts w:asciiTheme="minorHAnsi" w:eastAsia="Calibri" w:hAnsiTheme="minorHAnsi"/>
          <w:sz w:val="22"/>
          <w:szCs w:val="22"/>
        </w:rPr>
        <w:t>year colleges/</w:t>
      </w:r>
      <w:r>
        <w:rPr>
          <w:rFonts w:asciiTheme="minorHAnsi" w:eastAsia="Calibri" w:hAnsiTheme="minorHAnsi"/>
          <w:sz w:val="22"/>
          <w:szCs w:val="22"/>
        </w:rPr>
        <w:t xml:space="preserve">universities to facilitate the </w:t>
      </w:r>
      <w:r w:rsidRPr="00357456">
        <w:rPr>
          <w:rFonts w:asciiTheme="minorHAnsi" w:eastAsia="Calibri" w:hAnsiTheme="minorHAnsi"/>
          <w:sz w:val="22"/>
          <w:szCs w:val="22"/>
        </w:rPr>
        <w:t xml:space="preserve">transition </w:t>
      </w:r>
      <w:r>
        <w:rPr>
          <w:rFonts w:asciiTheme="minorHAnsi" w:eastAsia="Calibri" w:hAnsiTheme="minorHAnsi"/>
          <w:sz w:val="22"/>
          <w:szCs w:val="22"/>
        </w:rPr>
        <w:t xml:space="preserve">of underrepresented minority </w:t>
      </w:r>
      <w:r w:rsidRPr="00357456">
        <w:rPr>
          <w:rFonts w:asciiTheme="minorHAnsi" w:eastAsia="Calibri" w:hAnsiTheme="minorHAnsi"/>
          <w:sz w:val="22"/>
          <w:szCs w:val="22"/>
        </w:rPr>
        <w:t>students into ba</w:t>
      </w:r>
      <w:r>
        <w:rPr>
          <w:rFonts w:asciiTheme="minorHAnsi" w:eastAsia="Calibri" w:hAnsiTheme="minorHAnsi"/>
          <w:sz w:val="22"/>
          <w:szCs w:val="22"/>
        </w:rPr>
        <w:t xml:space="preserve">ccalaureate degree programs in </w:t>
      </w:r>
      <w:r w:rsidRPr="00357456">
        <w:rPr>
          <w:rFonts w:asciiTheme="minorHAnsi" w:eastAsia="Calibri" w:hAnsiTheme="minorHAnsi"/>
          <w:sz w:val="22"/>
          <w:szCs w:val="22"/>
        </w:rPr>
        <w:t>biomedical and behavioral sciences</w:t>
      </w:r>
      <w:r>
        <w:rPr>
          <w:rFonts w:asciiTheme="minorHAnsi" w:eastAsia="Calibri" w:hAnsiTheme="minorHAnsi"/>
          <w:sz w:val="22"/>
          <w:szCs w:val="22"/>
        </w:rPr>
        <w:t xml:space="preserve">. The goal is to </w:t>
      </w:r>
      <w:r w:rsidRPr="00357456">
        <w:rPr>
          <w:rFonts w:asciiTheme="minorHAnsi" w:eastAsia="Calibri" w:hAnsiTheme="minorHAnsi"/>
          <w:sz w:val="22"/>
          <w:szCs w:val="22"/>
        </w:rPr>
        <w:t>increase the pool of two-year col</w:t>
      </w:r>
      <w:r>
        <w:rPr>
          <w:rFonts w:asciiTheme="minorHAnsi" w:eastAsia="Calibri" w:hAnsiTheme="minorHAnsi"/>
          <w:sz w:val="22"/>
          <w:szCs w:val="22"/>
        </w:rPr>
        <w:t xml:space="preserve">lege students from </w:t>
      </w:r>
      <w:r w:rsidRPr="00357456">
        <w:rPr>
          <w:rFonts w:asciiTheme="minorHAnsi" w:eastAsia="Calibri" w:hAnsiTheme="minorHAnsi"/>
          <w:sz w:val="22"/>
          <w:szCs w:val="22"/>
        </w:rPr>
        <w:t>underrepresented bac</w:t>
      </w:r>
      <w:r>
        <w:rPr>
          <w:rFonts w:asciiTheme="minorHAnsi" w:eastAsia="Calibri" w:hAnsiTheme="minorHAnsi"/>
          <w:sz w:val="22"/>
          <w:szCs w:val="22"/>
        </w:rPr>
        <w:t xml:space="preserve">kgrounds who go on to research </w:t>
      </w:r>
      <w:r w:rsidRPr="00357456">
        <w:rPr>
          <w:rFonts w:asciiTheme="minorHAnsi" w:eastAsia="Calibri" w:hAnsiTheme="minorHAnsi"/>
          <w:sz w:val="22"/>
          <w:szCs w:val="22"/>
        </w:rPr>
        <w:t>careers. Specifi</w:t>
      </w:r>
      <w:r>
        <w:rPr>
          <w:rFonts w:asciiTheme="minorHAnsi" w:eastAsia="Calibri" w:hAnsiTheme="minorHAnsi"/>
          <w:sz w:val="22"/>
          <w:szCs w:val="22"/>
        </w:rPr>
        <w:t>c aims must be based on a self-</w:t>
      </w:r>
      <w:r w:rsidRPr="00357456">
        <w:rPr>
          <w:rFonts w:asciiTheme="minorHAnsi" w:eastAsia="Calibri" w:hAnsiTheme="minorHAnsi"/>
          <w:sz w:val="22"/>
          <w:szCs w:val="22"/>
        </w:rPr>
        <w:t xml:space="preserve">assessment that is consonant with the overall goals and objective. </w:t>
      </w:r>
      <w:r>
        <w:rPr>
          <w:rFonts w:asciiTheme="minorHAnsi" w:eastAsia="Calibri" w:hAnsiTheme="minorHAnsi"/>
          <w:sz w:val="22"/>
          <w:szCs w:val="22"/>
        </w:rPr>
        <w:t>Proposals are due</w:t>
      </w:r>
      <w:r w:rsidRPr="00357456">
        <w:rPr>
          <w:rFonts w:asciiTheme="minorHAnsi" w:eastAsia="Calibri" w:hAnsiTheme="minorHAnsi"/>
          <w:sz w:val="22"/>
          <w:szCs w:val="22"/>
        </w:rPr>
        <w:t xml:space="preserve"> Sep</w:t>
      </w:r>
      <w:r>
        <w:rPr>
          <w:rFonts w:asciiTheme="minorHAnsi" w:eastAsia="Calibri" w:hAnsiTheme="minorHAnsi"/>
          <w:sz w:val="22"/>
          <w:szCs w:val="22"/>
        </w:rPr>
        <w:t>tember</w:t>
      </w:r>
      <w:r w:rsidRPr="00357456">
        <w:rPr>
          <w:rFonts w:asciiTheme="minorHAnsi" w:eastAsia="Calibri" w:hAnsiTheme="minorHAnsi"/>
          <w:sz w:val="22"/>
          <w:szCs w:val="22"/>
        </w:rPr>
        <w:t xml:space="preserve"> 25, 2014</w:t>
      </w:r>
      <w:r>
        <w:rPr>
          <w:rFonts w:asciiTheme="minorHAnsi" w:eastAsia="Calibri" w:hAnsiTheme="minorHAnsi"/>
          <w:sz w:val="22"/>
          <w:szCs w:val="22"/>
        </w:rPr>
        <w:t xml:space="preserve">. For more information, visit </w:t>
      </w:r>
      <w:hyperlink r:id="rId25" w:history="1">
        <w:r w:rsidRPr="00357456">
          <w:rPr>
            <w:rStyle w:val="Hyperlink"/>
            <w:rFonts w:asciiTheme="minorHAnsi" w:eastAsia="Calibri" w:hAnsiTheme="minorHAnsi"/>
            <w:sz w:val="22"/>
            <w:szCs w:val="22"/>
          </w:rPr>
          <w:t>NIH.gov</w:t>
        </w:r>
      </w:hyperlink>
    </w:p>
    <w:p w:rsidR="00357456" w:rsidRPr="008706D1" w:rsidRDefault="00357456" w:rsidP="00357456">
      <w:pPr>
        <w:pStyle w:val="NormalWeb"/>
        <w:pBdr>
          <w:bottom w:val="single" w:sz="6" w:space="1" w:color="auto"/>
        </w:pBdr>
        <w:spacing w:before="0" w:after="0" w:line="240" w:lineRule="auto"/>
        <w:rPr>
          <w:rFonts w:asciiTheme="minorHAnsi" w:eastAsia="Calibri" w:hAnsiTheme="minorHAnsi"/>
          <w:sz w:val="20"/>
          <w:szCs w:val="22"/>
        </w:rPr>
      </w:pPr>
    </w:p>
    <w:p w:rsidR="00665154" w:rsidRPr="00665154" w:rsidRDefault="00665154" w:rsidP="00A2599C">
      <w:pPr>
        <w:pStyle w:val="PlainText"/>
        <w:rPr>
          <w:rFonts w:asciiTheme="minorHAnsi" w:hAnsiTheme="minorHAnsi" w:cs="Times New Roman"/>
          <w:sz w:val="22"/>
          <w:szCs w:val="20"/>
        </w:rPr>
      </w:pPr>
      <w:r w:rsidRPr="00665154">
        <w:rPr>
          <w:rFonts w:asciiTheme="minorHAnsi" w:hAnsiTheme="minorHAnsi"/>
          <w:b/>
          <w:sz w:val="22"/>
          <w:szCs w:val="20"/>
        </w:rPr>
        <w:br/>
        <w:t xml:space="preserve">NIMH </w:t>
      </w:r>
      <w:proofErr w:type="spellStart"/>
      <w:r w:rsidRPr="00665154">
        <w:rPr>
          <w:rFonts w:asciiTheme="minorHAnsi" w:hAnsiTheme="minorHAnsi"/>
          <w:b/>
          <w:sz w:val="22"/>
          <w:szCs w:val="20"/>
        </w:rPr>
        <w:t>Biobehavioral</w:t>
      </w:r>
      <w:proofErr w:type="spellEnd"/>
      <w:r w:rsidRPr="00665154">
        <w:rPr>
          <w:rFonts w:asciiTheme="minorHAnsi" w:hAnsiTheme="minorHAnsi"/>
          <w:b/>
          <w:sz w:val="22"/>
          <w:szCs w:val="20"/>
        </w:rPr>
        <w:t xml:space="preserve"> Research Awards for Innovative New </w:t>
      </w:r>
      <w:r>
        <w:rPr>
          <w:rFonts w:asciiTheme="minorHAnsi" w:hAnsiTheme="minorHAnsi"/>
          <w:b/>
          <w:sz w:val="22"/>
          <w:szCs w:val="20"/>
        </w:rPr>
        <w:t xml:space="preserve">Scientists (NIMH BRAINS) (R01); </w:t>
      </w:r>
      <w:r w:rsidRPr="00665154">
        <w:rPr>
          <w:rFonts w:asciiTheme="minorHAnsi" w:hAnsiTheme="minorHAnsi"/>
          <w:b/>
          <w:sz w:val="22"/>
          <w:szCs w:val="20"/>
        </w:rPr>
        <w:t>U.S. Department of Health and Human Services (HHS); National Institutes of Health (NIH); National Institute of Mental Health (NIMH)</w:t>
      </w:r>
      <w:r>
        <w:rPr>
          <w:rFonts w:asciiTheme="minorHAnsi" w:hAnsiTheme="minorHAnsi"/>
          <w:b/>
          <w:sz w:val="22"/>
          <w:szCs w:val="20"/>
        </w:rPr>
        <w:t>:</w:t>
      </w:r>
      <w:r>
        <w:rPr>
          <w:rFonts w:asciiTheme="minorHAnsi" w:hAnsiTheme="minorHAnsi"/>
          <w:sz w:val="22"/>
          <w:szCs w:val="20"/>
        </w:rPr>
        <w:t xml:space="preserve"> </w:t>
      </w:r>
      <w:r w:rsidRPr="00665154">
        <w:rPr>
          <w:rFonts w:asciiTheme="minorHAnsi" w:hAnsiTheme="minorHAnsi"/>
          <w:sz w:val="22"/>
          <w:szCs w:val="20"/>
        </w:rPr>
        <w:t>seek</w:t>
      </w:r>
      <w:r>
        <w:rPr>
          <w:rFonts w:asciiTheme="minorHAnsi" w:hAnsiTheme="minorHAnsi"/>
          <w:sz w:val="22"/>
          <w:szCs w:val="20"/>
        </w:rPr>
        <w:t>s</w:t>
      </w:r>
      <w:r w:rsidRPr="00665154">
        <w:rPr>
          <w:rFonts w:asciiTheme="minorHAnsi" w:hAnsiTheme="minorHAnsi"/>
          <w:sz w:val="22"/>
          <w:szCs w:val="20"/>
        </w:rPr>
        <w:t xml:space="preserve"> applications to support early career researchers in launching an innovative clinical, translational, basic or services research program that holds the potential to profoundly transform the understanding, diagnosis, treatment, or p</w:t>
      </w:r>
      <w:r>
        <w:rPr>
          <w:rFonts w:asciiTheme="minorHAnsi" w:hAnsiTheme="minorHAnsi"/>
          <w:sz w:val="22"/>
          <w:szCs w:val="20"/>
        </w:rPr>
        <w:t xml:space="preserve">revention of mental disorders. </w:t>
      </w:r>
      <w:r w:rsidRPr="00665154">
        <w:rPr>
          <w:rFonts w:asciiTheme="minorHAnsi" w:hAnsiTheme="minorHAnsi"/>
          <w:sz w:val="22"/>
          <w:szCs w:val="20"/>
        </w:rPr>
        <w:t>Letters of intent are requested 30 days before the application date. Applications are due October 23, 2014</w:t>
      </w:r>
      <w:r>
        <w:rPr>
          <w:rFonts w:asciiTheme="minorHAnsi" w:hAnsiTheme="minorHAnsi"/>
          <w:sz w:val="22"/>
          <w:szCs w:val="20"/>
        </w:rPr>
        <w:t>, annually</w:t>
      </w:r>
      <w:r w:rsidRPr="00665154">
        <w:rPr>
          <w:rFonts w:asciiTheme="minorHAnsi" w:hAnsiTheme="minorHAnsi"/>
          <w:sz w:val="22"/>
          <w:szCs w:val="20"/>
        </w:rPr>
        <w:t xml:space="preserve">. </w:t>
      </w:r>
      <w:r>
        <w:rPr>
          <w:rFonts w:asciiTheme="minorHAnsi" w:hAnsiTheme="minorHAnsi"/>
          <w:sz w:val="22"/>
          <w:szCs w:val="20"/>
        </w:rPr>
        <w:t xml:space="preserve"> For more information, visit </w:t>
      </w:r>
      <w:hyperlink r:id="rId26" w:history="1">
        <w:r w:rsidRPr="00665154">
          <w:rPr>
            <w:rStyle w:val="Hyperlink"/>
            <w:rFonts w:asciiTheme="minorHAnsi" w:hAnsiTheme="minorHAnsi"/>
            <w:sz w:val="22"/>
            <w:szCs w:val="20"/>
          </w:rPr>
          <w:t>Solicitation</w:t>
        </w:r>
      </w:hyperlink>
      <w:r w:rsidRPr="00665154">
        <w:rPr>
          <w:rFonts w:asciiTheme="minorHAnsi" w:hAnsiTheme="minorHAnsi"/>
          <w:sz w:val="22"/>
          <w:szCs w:val="20"/>
        </w:rPr>
        <w:t xml:space="preserve">, </w:t>
      </w:r>
      <w:hyperlink r:id="rId27" w:history="1">
        <w:r w:rsidRPr="00665154">
          <w:rPr>
            <w:rStyle w:val="Hyperlink"/>
            <w:rFonts w:asciiTheme="minorHAnsi" w:hAnsiTheme="minorHAnsi"/>
            <w:sz w:val="22"/>
            <w:szCs w:val="20"/>
          </w:rPr>
          <w:t>Grants.gov</w:t>
        </w:r>
      </w:hyperlink>
    </w:p>
    <w:p w:rsidR="00665154" w:rsidRDefault="00665154" w:rsidP="00A2599C">
      <w:pPr>
        <w:pStyle w:val="PlainText"/>
        <w:pBdr>
          <w:bottom w:val="single" w:sz="6" w:space="1" w:color="auto"/>
        </w:pBdr>
        <w:rPr>
          <w:rFonts w:ascii="Calibri" w:hAnsi="Calibri" w:cs="Times New Roman"/>
          <w:sz w:val="20"/>
          <w:szCs w:val="20"/>
        </w:rPr>
      </w:pPr>
    </w:p>
    <w:p w:rsidR="00665154" w:rsidRDefault="00665154" w:rsidP="00A2599C">
      <w:pPr>
        <w:pStyle w:val="PlainText"/>
        <w:rPr>
          <w:rFonts w:ascii="Calibri" w:hAnsi="Calibri" w:cs="Times New Roman"/>
          <w:sz w:val="20"/>
          <w:szCs w:val="20"/>
        </w:rPr>
      </w:pPr>
    </w:p>
    <w:p w:rsidR="00A2599C" w:rsidRDefault="00A2599C" w:rsidP="00A2599C">
      <w:pPr>
        <w:rPr>
          <w:b/>
          <w:sz w:val="28"/>
          <w:szCs w:val="28"/>
          <w:u w:val="single"/>
        </w:rPr>
      </w:pPr>
      <w:bookmarkStart w:id="4" w:name="hum"/>
      <w:r>
        <w:rPr>
          <w:b/>
          <w:sz w:val="28"/>
          <w:szCs w:val="28"/>
          <w:u w:val="single"/>
        </w:rPr>
        <w:t>Humanities and Language</w:t>
      </w:r>
    </w:p>
    <w:bookmarkEnd w:id="4"/>
    <w:p w:rsidR="002B5168" w:rsidRDefault="002B5168" w:rsidP="002B5168">
      <w:pPr>
        <w:shd w:val="clear" w:color="auto" w:fill="FFFFFF"/>
        <w:rPr>
          <w:rFonts w:cs="Arial"/>
          <w:sz w:val="20"/>
          <w:szCs w:val="20"/>
        </w:rPr>
      </w:pPr>
    </w:p>
    <w:p w:rsidR="002B5168" w:rsidRDefault="002B5168" w:rsidP="002B5168">
      <w:pPr>
        <w:shd w:val="clear" w:color="auto" w:fill="FFFFFF"/>
      </w:pPr>
      <w:r>
        <w:rPr>
          <w:b/>
          <w:bCs/>
        </w:rPr>
        <w:t xml:space="preserve">Mini-Grant; New Jersey Council for the Humanities: </w:t>
      </w:r>
      <w:r>
        <w:t xml:space="preserve">seeks nonprofit organizations interested in applying for the Council's mini-grant. Organizations must submit a draft proposal by January 15, April 15, July 15 or October 15, annually. The Council is especially interested in projects that address the Council’s theme of Justice, which encourages historical, philosophical, legal, political and/or cross-cultural </w:t>
      </w:r>
      <w:r>
        <w:lastRenderedPageBreak/>
        <w:t>reflection upon the concept of justice and its application in community and social institutions. Grants of up to $3,000 will be awarded in support of public humanities projects. For more information, visit</w:t>
      </w:r>
      <w:r>
        <w:rPr>
          <w:color w:val="333333"/>
        </w:rPr>
        <w:t xml:space="preserve"> </w:t>
      </w:r>
      <w:hyperlink r:id="rId28" w:tgtFrame="_blank" w:history="1">
        <w:r>
          <w:rPr>
            <w:rStyle w:val="Hyperlink"/>
          </w:rPr>
          <w:t>NJCH.org</w:t>
        </w:r>
      </w:hyperlink>
    </w:p>
    <w:p w:rsidR="002B5168" w:rsidRDefault="002B5168" w:rsidP="00A2599C">
      <w:pPr>
        <w:pStyle w:val="PlainText"/>
        <w:pBdr>
          <w:bottom w:val="single" w:sz="6" w:space="1" w:color="auto"/>
        </w:pBdr>
        <w:rPr>
          <w:rFonts w:ascii="Calibri" w:hAnsi="Calibri"/>
          <w:sz w:val="20"/>
          <w:szCs w:val="20"/>
        </w:rPr>
      </w:pPr>
    </w:p>
    <w:p w:rsidR="00A2599C" w:rsidRDefault="00A2599C" w:rsidP="00A2599C">
      <w:pPr>
        <w:pStyle w:val="PlainText"/>
        <w:rPr>
          <w:rFonts w:ascii="Calibri" w:hAnsi="Calibri"/>
          <w:sz w:val="20"/>
          <w:szCs w:val="20"/>
        </w:rPr>
      </w:pPr>
    </w:p>
    <w:p w:rsidR="00516E9A" w:rsidRDefault="00516E9A" w:rsidP="00753C26">
      <w:pPr>
        <w:pStyle w:val="NormalWeb"/>
        <w:spacing w:before="0" w:after="0" w:line="240" w:lineRule="auto"/>
        <w:rPr>
          <w:rFonts w:asciiTheme="minorHAnsi" w:eastAsiaTheme="minorHAnsi" w:hAnsiTheme="minorHAnsi" w:cs="Courier New"/>
          <w:sz w:val="22"/>
          <w:szCs w:val="22"/>
        </w:rPr>
      </w:pPr>
      <w:r w:rsidRPr="00516E9A">
        <w:rPr>
          <w:rFonts w:ascii="Calibri" w:eastAsia="Calibri" w:hAnsi="Calibri" w:cs="Times New Roman"/>
          <w:b/>
          <w:bCs/>
          <w:color w:val="auto"/>
          <w:sz w:val="22"/>
          <w:szCs w:val="22"/>
        </w:rPr>
        <w:t>Enduring Questions</w:t>
      </w:r>
      <w:r>
        <w:rPr>
          <w:rFonts w:ascii="Calibri" w:eastAsia="Calibri" w:hAnsi="Calibri" w:cs="Times New Roman"/>
          <w:b/>
          <w:bCs/>
          <w:color w:val="auto"/>
          <w:sz w:val="22"/>
          <w:szCs w:val="22"/>
        </w:rPr>
        <w:t xml:space="preserve">; </w:t>
      </w:r>
      <w:r w:rsidRPr="00516E9A">
        <w:rPr>
          <w:rFonts w:ascii="Calibri" w:eastAsia="Calibri" w:hAnsi="Calibri" w:cs="Times New Roman"/>
          <w:b/>
          <w:bCs/>
          <w:color w:val="auto"/>
          <w:sz w:val="22"/>
          <w:szCs w:val="22"/>
        </w:rPr>
        <w:t>National Endowment for the Humanities</w:t>
      </w:r>
      <w:r>
        <w:rPr>
          <w:rFonts w:ascii="Calibri" w:eastAsia="Calibri" w:hAnsi="Calibri" w:cs="Times New Roman"/>
          <w:b/>
          <w:bCs/>
          <w:color w:val="auto"/>
          <w:sz w:val="22"/>
          <w:szCs w:val="22"/>
        </w:rPr>
        <w:t>:</w:t>
      </w:r>
      <w:r w:rsidR="00753C26">
        <w:rPr>
          <w:rFonts w:ascii="Calibri" w:eastAsia="Calibri" w:hAnsi="Calibri" w:cs="Times New Roman"/>
          <w:b/>
          <w:bCs/>
          <w:color w:val="auto"/>
          <w:sz w:val="22"/>
          <w:szCs w:val="22"/>
        </w:rPr>
        <w:t xml:space="preserve"> </w:t>
      </w:r>
      <w:r w:rsidRPr="00516E9A">
        <w:rPr>
          <w:rFonts w:asciiTheme="minorHAnsi" w:eastAsiaTheme="minorHAnsi" w:hAnsiTheme="minorHAnsi" w:cs="Courier New"/>
          <w:sz w:val="22"/>
          <w:szCs w:val="22"/>
        </w:rPr>
        <w:t>support</w:t>
      </w:r>
      <w:r w:rsidR="00753C26">
        <w:rPr>
          <w:rFonts w:asciiTheme="minorHAnsi" w:eastAsiaTheme="minorHAnsi" w:hAnsiTheme="minorHAnsi" w:cs="Courier New"/>
          <w:sz w:val="22"/>
          <w:szCs w:val="22"/>
        </w:rPr>
        <w:t>s</w:t>
      </w:r>
      <w:r w:rsidRPr="00516E9A">
        <w:rPr>
          <w:rFonts w:asciiTheme="minorHAnsi" w:eastAsiaTheme="minorHAnsi" w:hAnsiTheme="minorHAnsi" w:cs="Courier New"/>
          <w:sz w:val="22"/>
          <w:szCs w:val="22"/>
        </w:rPr>
        <w:t xml:space="preserve"> for</w:t>
      </w:r>
      <w:r w:rsidR="00753C26">
        <w:rPr>
          <w:rFonts w:asciiTheme="minorHAnsi" w:eastAsiaTheme="minorHAnsi" w:hAnsiTheme="minorHAnsi" w:cs="Courier New"/>
          <w:sz w:val="22"/>
          <w:szCs w:val="22"/>
        </w:rPr>
        <w:t xml:space="preserve"> new humanities courses at the </w:t>
      </w:r>
      <w:r w:rsidRPr="00516E9A">
        <w:rPr>
          <w:rFonts w:asciiTheme="minorHAnsi" w:eastAsiaTheme="minorHAnsi" w:hAnsiTheme="minorHAnsi" w:cs="Courier New"/>
          <w:sz w:val="22"/>
          <w:szCs w:val="22"/>
        </w:rPr>
        <w:t>undergraduate level.</w:t>
      </w:r>
      <w:r w:rsidR="00753C26">
        <w:rPr>
          <w:rFonts w:asciiTheme="minorHAnsi" w:eastAsiaTheme="minorHAnsi" w:hAnsiTheme="minorHAnsi" w:cs="Courier New"/>
          <w:sz w:val="22"/>
          <w:szCs w:val="22"/>
        </w:rPr>
        <w:t xml:space="preserve"> </w:t>
      </w:r>
      <w:proofErr w:type="gramStart"/>
      <w:r w:rsidR="00753C26">
        <w:rPr>
          <w:rFonts w:asciiTheme="minorHAnsi" w:eastAsiaTheme="minorHAnsi" w:hAnsiTheme="minorHAnsi" w:cs="Courier New"/>
          <w:sz w:val="22"/>
          <w:szCs w:val="22"/>
        </w:rPr>
        <w:t xml:space="preserve">May be taught by faculty from </w:t>
      </w:r>
      <w:r w:rsidRPr="00516E9A">
        <w:rPr>
          <w:rFonts w:asciiTheme="minorHAnsi" w:eastAsiaTheme="minorHAnsi" w:hAnsiTheme="minorHAnsi" w:cs="Courier New"/>
          <w:sz w:val="22"/>
          <w:szCs w:val="22"/>
        </w:rPr>
        <w:t>any field in</w:t>
      </w:r>
      <w:r w:rsidR="00753C26">
        <w:rPr>
          <w:rFonts w:asciiTheme="minorHAnsi" w:eastAsiaTheme="minorHAnsi" w:hAnsiTheme="minorHAnsi" w:cs="Courier New"/>
          <w:sz w:val="22"/>
          <w:szCs w:val="22"/>
        </w:rPr>
        <w:t xml:space="preserve"> the humanities or outside the </w:t>
      </w:r>
      <w:r w:rsidRPr="00516E9A">
        <w:rPr>
          <w:rFonts w:asciiTheme="minorHAnsi" w:eastAsiaTheme="minorHAnsi" w:hAnsiTheme="minorHAnsi" w:cs="Courier New"/>
          <w:sz w:val="22"/>
          <w:szCs w:val="22"/>
        </w:rPr>
        <w:t>humanities, provid</w:t>
      </w:r>
      <w:r w:rsidR="00753C26">
        <w:rPr>
          <w:rFonts w:asciiTheme="minorHAnsi" w:eastAsiaTheme="minorHAnsi" w:hAnsiTheme="minorHAnsi" w:cs="Courier New"/>
          <w:sz w:val="22"/>
          <w:szCs w:val="22"/>
        </w:rPr>
        <w:t xml:space="preserve">ed that humanities sources are </w:t>
      </w:r>
      <w:r w:rsidRPr="00516E9A">
        <w:rPr>
          <w:rFonts w:asciiTheme="minorHAnsi" w:eastAsiaTheme="minorHAnsi" w:hAnsiTheme="minorHAnsi" w:cs="Courier New"/>
          <w:sz w:val="22"/>
          <w:szCs w:val="22"/>
        </w:rPr>
        <w:t>central to course</w:t>
      </w:r>
      <w:r w:rsidR="00753C26">
        <w:rPr>
          <w:rFonts w:asciiTheme="minorHAnsi" w:eastAsiaTheme="minorHAnsi" w:hAnsiTheme="minorHAnsi" w:cs="Courier New"/>
          <w:sz w:val="22"/>
          <w:szCs w:val="22"/>
        </w:rPr>
        <w:t xml:space="preserve"> content.</w:t>
      </w:r>
      <w:proofErr w:type="gramEnd"/>
      <w:r w:rsidR="00753C26">
        <w:rPr>
          <w:rFonts w:asciiTheme="minorHAnsi" w:eastAsiaTheme="minorHAnsi" w:hAnsiTheme="minorHAnsi" w:cs="Courier New"/>
          <w:sz w:val="22"/>
          <w:szCs w:val="22"/>
        </w:rPr>
        <w:t xml:space="preserve"> Courses must reflect </w:t>
      </w:r>
      <w:r w:rsidRPr="00516E9A">
        <w:rPr>
          <w:rFonts w:asciiTheme="minorHAnsi" w:eastAsiaTheme="minorHAnsi" w:hAnsiTheme="minorHAnsi" w:cs="Courier New"/>
          <w:sz w:val="22"/>
          <w:szCs w:val="22"/>
        </w:rPr>
        <w:t>intellectual pl</w:t>
      </w:r>
      <w:r w:rsidR="00753C26">
        <w:rPr>
          <w:rFonts w:asciiTheme="minorHAnsi" w:eastAsiaTheme="minorHAnsi" w:hAnsiTheme="minorHAnsi" w:cs="Courier New"/>
          <w:sz w:val="22"/>
          <w:szCs w:val="22"/>
        </w:rPr>
        <w:t xml:space="preserve">uralism; draw on readings from </w:t>
      </w:r>
      <w:r w:rsidRPr="00516E9A">
        <w:rPr>
          <w:rFonts w:asciiTheme="minorHAnsi" w:eastAsiaTheme="minorHAnsi" w:hAnsiTheme="minorHAnsi" w:cs="Courier New"/>
          <w:sz w:val="22"/>
          <w:szCs w:val="22"/>
        </w:rPr>
        <w:t xml:space="preserve">different periods. </w:t>
      </w:r>
      <w:r w:rsidR="00753C26">
        <w:rPr>
          <w:rFonts w:asciiTheme="minorHAnsi" w:eastAsiaTheme="minorHAnsi" w:hAnsiTheme="minorHAnsi" w:cs="Courier New"/>
          <w:sz w:val="22"/>
          <w:szCs w:val="22"/>
        </w:rPr>
        <w:t xml:space="preserve">The new course must </w:t>
      </w:r>
      <w:r w:rsidRPr="00516E9A">
        <w:rPr>
          <w:rFonts w:asciiTheme="minorHAnsi" w:eastAsiaTheme="minorHAnsi" w:hAnsiTheme="minorHAnsi" w:cs="Courier New"/>
          <w:sz w:val="22"/>
          <w:szCs w:val="22"/>
        </w:rPr>
        <w:t>be taught at least</w:t>
      </w:r>
      <w:r w:rsidR="00753C26">
        <w:rPr>
          <w:rFonts w:asciiTheme="minorHAnsi" w:eastAsiaTheme="minorHAnsi" w:hAnsiTheme="minorHAnsi" w:cs="Courier New"/>
          <w:sz w:val="22"/>
          <w:szCs w:val="22"/>
        </w:rPr>
        <w:t xml:space="preserve"> twice (requires administrator </w:t>
      </w:r>
      <w:r w:rsidRPr="00516E9A">
        <w:rPr>
          <w:rFonts w:asciiTheme="minorHAnsi" w:eastAsiaTheme="minorHAnsi" w:hAnsiTheme="minorHAnsi" w:cs="Courier New"/>
          <w:sz w:val="22"/>
          <w:szCs w:val="22"/>
        </w:rPr>
        <w:t>sign-off).</w:t>
      </w:r>
      <w:r w:rsidR="00753C26">
        <w:rPr>
          <w:rFonts w:asciiTheme="minorHAnsi" w:eastAsiaTheme="minorHAnsi" w:hAnsiTheme="minorHAnsi" w:cs="Courier New"/>
          <w:sz w:val="22"/>
          <w:szCs w:val="22"/>
        </w:rPr>
        <w:t xml:space="preserve"> Proposals are due</w:t>
      </w:r>
      <w:r w:rsidR="00753C26" w:rsidRPr="00516E9A">
        <w:rPr>
          <w:rFonts w:asciiTheme="minorHAnsi" w:eastAsiaTheme="minorHAnsi" w:hAnsiTheme="minorHAnsi" w:cs="Courier New"/>
          <w:sz w:val="22"/>
          <w:szCs w:val="22"/>
        </w:rPr>
        <w:t xml:space="preserve"> Sep</w:t>
      </w:r>
      <w:r w:rsidR="00753C26">
        <w:rPr>
          <w:rFonts w:asciiTheme="minorHAnsi" w:eastAsiaTheme="minorHAnsi" w:hAnsiTheme="minorHAnsi" w:cs="Courier New"/>
          <w:sz w:val="22"/>
          <w:szCs w:val="22"/>
        </w:rPr>
        <w:t>tember</w:t>
      </w:r>
      <w:r w:rsidR="00753C26" w:rsidRPr="00516E9A">
        <w:rPr>
          <w:rFonts w:asciiTheme="minorHAnsi" w:eastAsiaTheme="minorHAnsi" w:hAnsiTheme="minorHAnsi" w:cs="Courier New"/>
          <w:sz w:val="22"/>
          <w:szCs w:val="22"/>
        </w:rPr>
        <w:t xml:space="preserve"> 11, 2014</w:t>
      </w:r>
      <w:r w:rsidR="00753C26">
        <w:rPr>
          <w:rFonts w:asciiTheme="minorHAnsi" w:eastAsiaTheme="minorHAnsi" w:hAnsiTheme="minorHAnsi" w:cs="Courier New"/>
          <w:sz w:val="22"/>
          <w:szCs w:val="22"/>
        </w:rPr>
        <w:t xml:space="preserve">. For more information, visit </w:t>
      </w:r>
      <w:hyperlink r:id="rId29" w:history="1">
        <w:r w:rsidR="00753C26" w:rsidRPr="00753C26">
          <w:rPr>
            <w:rStyle w:val="Hyperlink"/>
            <w:rFonts w:asciiTheme="minorHAnsi" w:eastAsiaTheme="minorHAnsi" w:hAnsiTheme="minorHAnsi" w:cs="Courier New"/>
            <w:sz w:val="22"/>
            <w:szCs w:val="22"/>
          </w:rPr>
          <w:t>NEH.gov</w:t>
        </w:r>
      </w:hyperlink>
    </w:p>
    <w:p w:rsidR="00A2599C" w:rsidRDefault="00A2599C" w:rsidP="00A2599C">
      <w:pPr>
        <w:pBdr>
          <w:bottom w:val="single" w:sz="6" w:space="1" w:color="auto"/>
        </w:pBdr>
        <w:autoSpaceDE w:val="0"/>
        <w:autoSpaceDN w:val="0"/>
        <w:adjustRightInd w:val="0"/>
        <w:rPr>
          <w:sz w:val="20"/>
          <w:szCs w:val="20"/>
          <w:u w:val="single"/>
        </w:rPr>
      </w:pPr>
    </w:p>
    <w:p w:rsidR="00A2599C" w:rsidRDefault="00A2599C" w:rsidP="00A2599C">
      <w:pPr>
        <w:rPr>
          <w:sz w:val="20"/>
          <w:szCs w:val="20"/>
          <w:u w:val="single"/>
        </w:rPr>
      </w:pPr>
    </w:p>
    <w:p w:rsidR="00A2599C" w:rsidRDefault="00A2599C" w:rsidP="00A2599C">
      <w:pPr>
        <w:rPr>
          <w:b/>
          <w:sz w:val="28"/>
          <w:szCs w:val="28"/>
          <w:u w:val="single"/>
        </w:rPr>
      </w:pPr>
      <w:bookmarkStart w:id="5" w:name="phy"/>
      <w:r>
        <w:rPr>
          <w:b/>
          <w:sz w:val="28"/>
          <w:szCs w:val="28"/>
          <w:u w:val="single"/>
        </w:rPr>
        <w:t>Physical Sciences and Math</w:t>
      </w:r>
    </w:p>
    <w:p w:rsidR="008D49F2" w:rsidRPr="008D49F2" w:rsidRDefault="008D49F2" w:rsidP="00A2599C">
      <w:pPr>
        <w:rPr>
          <w:rFonts w:asciiTheme="minorHAnsi" w:hAnsiTheme="minorHAnsi"/>
          <w:b/>
          <w:u w:val="single"/>
        </w:rPr>
      </w:pPr>
      <w:r w:rsidRPr="008D49F2">
        <w:rPr>
          <w:rFonts w:asciiTheme="minorHAnsi" w:hAnsiTheme="minorHAnsi" w:cs="Arial"/>
          <w:b/>
        </w:rPr>
        <w:br/>
        <w:t>ADVANCE: Increasing the Participation and Advancement of Women in Academic S</w:t>
      </w:r>
      <w:r>
        <w:rPr>
          <w:rFonts w:asciiTheme="minorHAnsi" w:hAnsiTheme="minorHAnsi" w:cs="Arial"/>
          <w:b/>
        </w:rPr>
        <w:t xml:space="preserve">cience and Engineering Careers; </w:t>
      </w:r>
      <w:r w:rsidRPr="008D49F2">
        <w:rPr>
          <w:rFonts w:asciiTheme="minorHAnsi" w:hAnsiTheme="minorHAnsi" w:cs="Arial"/>
          <w:b/>
        </w:rPr>
        <w:t>National Science Foundation (NSF); Multiple Directorates</w:t>
      </w:r>
      <w:r>
        <w:rPr>
          <w:rFonts w:asciiTheme="minorHAnsi" w:hAnsiTheme="minorHAnsi" w:cs="Arial"/>
          <w:b/>
        </w:rPr>
        <w:t>:</w:t>
      </w:r>
      <w:r>
        <w:rPr>
          <w:rFonts w:asciiTheme="minorHAnsi" w:hAnsiTheme="minorHAnsi" w:cs="Arial"/>
        </w:rPr>
        <w:t xml:space="preserve"> </w:t>
      </w:r>
      <w:r w:rsidRPr="008D49F2">
        <w:rPr>
          <w:rFonts w:asciiTheme="minorHAnsi" w:hAnsiTheme="minorHAnsi" w:cs="Arial"/>
        </w:rPr>
        <w:t>seek</w:t>
      </w:r>
      <w:r>
        <w:rPr>
          <w:rFonts w:asciiTheme="minorHAnsi" w:hAnsiTheme="minorHAnsi" w:cs="Arial"/>
        </w:rPr>
        <w:t>s</w:t>
      </w:r>
      <w:r w:rsidRPr="008D49F2">
        <w:rPr>
          <w:rFonts w:asciiTheme="minorHAnsi" w:hAnsiTheme="minorHAnsi" w:cs="Arial"/>
        </w:rPr>
        <w:t xml:space="preserve"> proposals (1) to develop systemic approaches to increase the representation and advancement of women in academic STEM careers; (2) to develop innovative and sustainable ways to promote gender equity in the STEM academic workforce; and (3) to contribute to the development of a more diverse scie</w:t>
      </w:r>
      <w:r>
        <w:rPr>
          <w:rFonts w:asciiTheme="minorHAnsi" w:hAnsiTheme="minorHAnsi" w:cs="Arial"/>
        </w:rPr>
        <w:t xml:space="preserve">nce and engineering workforce. </w:t>
      </w:r>
      <w:r w:rsidR="00382928">
        <w:rPr>
          <w:rFonts w:asciiTheme="minorHAnsi" w:hAnsiTheme="minorHAnsi" w:cs="Arial"/>
        </w:rPr>
        <w:t>Deadlines for the required letter of intent and proposal submission vary by area of submission.</w:t>
      </w:r>
      <w:r w:rsidR="00ED4C54">
        <w:rPr>
          <w:rFonts w:asciiTheme="minorHAnsi" w:hAnsiTheme="minorHAnsi" w:cs="Arial"/>
        </w:rPr>
        <w:t xml:space="preserve"> For more information, visit </w:t>
      </w:r>
      <w:hyperlink r:id="rId30" w:history="1">
        <w:r w:rsidRPr="008D49F2">
          <w:rPr>
            <w:rStyle w:val="Hyperlink"/>
            <w:rFonts w:asciiTheme="minorHAnsi" w:hAnsiTheme="minorHAnsi" w:cs="Arial"/>
          </w:rPr>
          <w:t>Solicitation</w:t>
        </w:r>
      </w:hyperlink>
      <w:r w:rsidRPr="008D49F2">
        <w:rPr>
          <w:rFonts w:asciiTheme="minorHAnsi" w:hAnsiTheme="minorHAnsi" w:cs="Arial"/>
        </w:rPr>
        <w:t xml:space="preserve">, </w:t>
      </w:r>
      <w:hyperlink r:id="rId31" w:history="1">
        <w:r w:rsidRPr="008D49F2">
          <w:rPr>
            <w:rStyle w:val="Hyperlink"/>
            <w:rFonts w:asciiTheme="minorHAnsi" w:hAnsiTheme="minorHAnsi" w:cs="Arial"/>
          </w:rPr>
          <w:t>Grants.gov</w:t>
        </w:r>
      </w:hyperlink>
    </w:p>
    <w:bookmarkEnd w:id="5"/>
    <w:p w:rsidR="00A2599C" w:rsidRDefault="00A2599C" w:rsidP="00A2599C">
      <w:pPr>
        <w:pStyle w:val="PlainText"/>
        <w:pBdr>
          <w:bottom w:val="single" w:sz="6" w:space="1" w:color="auto"/>
        </w:pBdr>
        <w:rPr>
          <w:rFonts w:ascii="Calibri" w:hAnsi="Calibri"/>
          <w:sz w:val="20"/>
          <w:szCs w:val="20"/>
        </w:rPr>
      </w:pPr>
    </w:p>
    <w:p w:rsidR="00A2599C" w:rsidRPr="00AF1DD6" w:rsidRDefault="00A2599C" w:rsidP="00A2599C">
      <w:pPr>
        <w:rPr>
          <w:b/>
          <w:sz w:val="20"/>
          <w:szCs w:val="20"/>
          <w:u w:val="single"/>
        </w:rPr>
      </w:pPr>
    </w:p>
    <w:p w:rsidR="00AF1DD6" w:rsidRDefault="00AF1DD6" w:rsidP="00AF1DD6">
      <w:pPr>
        <w:pStyle w:val="NormalWeb"/>
        <w:spacing w:before="0" w:after="0" w:line="240" w:lineRule="auto"/>
        <w:rPr>
          <w:rFonts w:asciiTheme="minorHAnsi" w:eastAsia="Calibri" w:hAnsiTheme="minorHAnsi"/>
          <w:sz w:val="22"/>
          <w:szCs w:val="22"/>
        </w:rPr>
      </w:pPr>
      <w:r w:rsidRPr="00AF1DD6">
        <w:rPr>
          <w:rFonts w:asciiTheme="minorHAnsi" w:eastAsia="Calibri" w:hAnsiTheme="minorHAnsi"/>
          <w:b/>
          <w:color w:val="auto"/>
          <w:sz w:val="22"/>
          <w:szCs w:val="22"/>
        </w:rPr>
        <w:t>Division of Chemistry Unsolicited Proposals</w:t>
      </w:r>
      <w:r>
        <w:rPr>
          <w:rFonts w:asciiTheme="minorHAnsi" w:eastAsia="Calibri" w:hAnsiTheme="minorHAnsi"/>
          <w:b/>
          <w:color w:val="auto"/>
          <w:sz w:val="22"/>
          <w:szCs w:val="22"/>
        </w:rPr>
        <w:t xml:space="preserve">; </w:t>
      </w:r>
      <w:r w:rsidRPr="00AF1DD6">
        <w:rPr>
          <w:rFonts w:asciiTheme="minorHAnsi" w:eastAsia="Calibri" w:hAnsiTheme="minorHAnsi"/>
          <w:b/>
          <w:color w:val="auto"/>
          <w:sz w:val="22"/>
          <w:szCs w:val="22"/>
        </w:rPr>
        <w:t>National Science Foundation</w:t>
      </w:r>
      <w:r>
        <w:rPr>
          <w:rFonts w:asciiTheme="minorHAnsi" w:eastAsia="Calibri" w:hAnsiTheme="minorHAnsi"/>
          <w:b/>
          <w:color w:val="auto"/>
          <w:sz w:val="22"/>
          <w:szCs w:val="22"/>
        </w:rPr>
        <w:t xml:space="preserve"> (NSF): </w:t>
      </w:r>
      <w:r>
        <w:rPr>
          <w:rFonts w:asciiTheme="minorHAnsi" w:hAnsiTheme="minorHAnsi"/>
        </w:rPr>
        <w:t>s</w:t>
      </w:r>
      <w:r w:rsidRPr="00AF1DD6">
        <w:rPr>
          <w:rFonts w:asciiTheme="minorHAnsi" w:eastAsia="Calibri" w:hAnsiTheme="minorHAnsi"/>
          <w:sz w:val="22"/>
          <w:szCs w:val="22"/>
        </w:rPr>
        <w:t>upports unsolicite</w:t>
      </w:r>
      <w:r>
        <w:rPr>
          <w:rFonts w:asciiTheme="minorHAnsi" w:eastAsia="Calibri" w:hAnsiTheme="minorHAnsi"/>
          <w:sz w:val="22"/>
          <w:szCs w:val="22"/>
        </w:rPr>
        <w:t xml:space="preserve">d proposals in all traditional </w:t>
      </w:r>
      <w:r w:rsidRPr="00AF1DD6">
        <w:rPr>
          <w:rFonts w:asciiTheme="minorHAnsi" w:eastAsia="Calibri" w:hAnsiTheme="minorHAnsi"/>
          <w:sz w:val="22"/>
          <w:szCs w:val="22"/>
        </w:rPr>
        <w:t>areas of chemist</w:t>
      </w:r>
      <w:r>
        <w:rPr>
          <w:rFonts w:asciiTheme="minorHAnsi" w:eastAsia="Calibri" w:hAnsiTheme="minorHAnsi"/>
          <w:sz w:val="22"/>
          <w:szCs w:val="22"/>
        </w:rPr>
        <w:t xml:space="preserve">ry and </w:t>
      </w:r>
      <w:r w:rsidR="00783EC6">
        <w:rPr>
          <w:rFonts w:asciiTheme="minorHAnsi" w:eastAsia="Calibri" w:hAnsiTheme="minorHAnsi"/>
          <w:sz w:val="22"/>
          <w:szCs w:val="22"/>
        </w:rPr>
        <w:t>multidisciplinary</w:t>
      </w:r>
      <w:r>
        <w:rPr>
          <w:rFonts w:asciiTheme="minorHAnsi" w:eastAsia="Calibri" w:hAnsiTheme="minorHAnsi"/>
          <w:sz w:val="22"/>
          <w:szCs w:val="22"/>
        </w:rPr>
        <w:t xml:space="preserve"> fields </w:t>
      </w:r>
      <w:r w:rsidRPr="00AF1DD6">
        <w:rPr>
          <w:rFonts w:asciiTheme="minorHAnsi" w:eastAsia="Calibri" w:hAnsiTheme="minorHAnsi"/>
          <w:sz w:val="22"/>
          <w:szCs w:val="22"/>
        </w:rPr>
        <w:t>drawing on the ch</w:t>
      </w:r>
      <w:r>
        <w:rPr>
          <w:rFonts w:asciiTheme="minorHAnsi" w:eastAsia="Calibri" w:hAnsiTheme="minorHAnsi"/>
          <w:sz w:val="22"/>
          <w:szCs w:val="22"/>
        </w:rPr>
        <w:t xml:space="preserve">emical sciences &amp; enable basic </w:t>
      </w:r>
      <w:r w:rsidRPr="00AF1DD6">
        <w:rPr>
          <w:rFonts w:asciiTheme="minorHAnsi" w:eastAsia="Calibri" w:hAnsiTheme="minorHAnsi"/>
          <w:sz w:val="22"/>
          <w:szCs w:val="22"/>
        </w:rPr>
        <w:t>research &amp; educa</w:t>
      </w:r>
      <w:r>
        <w:rPr>
          <w:rFonts w:asciiTheme="minorHAnsi" w:eastAsia="Calibri" w:hAnsiTheme="minorHAnsi"/>
          <w:sz w:val="22"/>
          <w:szCs w:val="22"/>
        </w:rPr>
        <w:t xml:space="preserve">tion. Modes of support include </w:t>
      </w:r>
      <w:r w:rsidRPr="00AF1DD6">
        <w:rPr>
          <w:rFonts w:asciiTheme="minorHAnsi" w:eastAsia="Calibri" w:hAnsiTheme="minorHAnsi"/>
          <w:sz w:val="22"/>
          <w:szCs w:val="22"/>
        </w:rPr>
        <w:t>single/mul</w:t>
      </w:r>
      <w:r>
        <w:rPr>
          <w:rFonts w:asciiTheme="minorHAnsi" w:eastAsia="Calibri" w:hAnsiTheme="minorHAnsi"/>
          <w:sz w:val="22"/>
          <w:szCs w:val="22"/>
        </w:rPr>
        <w:t xml:space="preserve">ti-investigator awards, shared </w:t>
      </w:r>
      <w:r w:rsidRPr="00AF1DD6">
        <w:rPr>
          <w:rFonts w:asciiTheme="minorHAnsi" w:eastAsia="Calibri" w:hAnsiTheme="minorHAnsi"/>
          <w:sz w:val="22"/>
          <w:szCs w:val="22"/>
        </w:rPr>
        <w:t>instrument</w:t>
      </w:r>
      <w:r>
        <w:rPr>
          <w:rFonts w:asciiTheme="minorHAnsi" w:eastAsia="Calibri" w:hAnsiTheme="minorHAnsi"/>
          <w:sz w:val="22"/>
          <w:szCs w:val="22"/>
        </w:rPr>
        <w:t xml:space="preserve">ation funding, instrumentation </w:t>
      </w:r>
      <w:r w:rsidRPr="00AF1DD6">
        <w:rPr>
          <w:rFonts w:asciiTheme="minorHAnsi" w:eastAsia="Calibri" w:hAnsiTheme="minorHAnsi"/>
          <w:sz w:val="22"/>
          <w:szCs w:val="22"/>
        </w:rPr>
        <w:t>development, and educ</w:t>
      </w:r>
      <w:r>
        <w:rPr>
          <w:rFonts w:asciiTheme="minorHAnsi" w:eastAsia="Calibri" w:hAnsiTheme="minorHAnsi"/>
          <w:sz w:val="22"/>
          <w:szCs w:val="22"/>
        </w:rPr>
        <w:t xml:space="preserve">ational projects that leverage </w:t>
      </w:r>
      <w:r w:rsidRPr="00AF1DD6">
        <w:rPr>
          <w:rFonts w:asciiTheme="minorHAnsi" w:eastAsia="Calibri" w:hAnsiTheme="minorHAnsi"/>
          <w:sz w:val="22"/>
          <w:szCs w:val="22"/>
        </w:rPr>
        <w:t>the division's</w:t>
      </w:r>
      <w:r>
        <w:rPr>
          <w:rFonts w:asciiTheme="minorHAnsi" w:eastAsia="Calibri" w:hAnsiTheme="minorHAnsi"/>
          <w:sz w:val="22"/>
          <w:szCs w:val="22"/>
        </w:rPr>
        <w:t xml:space="preserve"> research investments to build </w:t>
      </w:r>
      <w:r w:rsidRPr="00AF1DD6">
        <w:rPr>
          <w:rFonts w:asciiTheme="minorHAnsi" w:eastAsia="Calibri" w:hAnsiTheme="minorHAnsi"/>
          <w:sz w:val="22"/>
          <w:szCs w:val="22"/>
        </w:rPr>
        <w:t>research capacity. Projects t</w:t>
      </w:r>
      <w:r>
        <w:rPr>
          <w:rFonts w:asciiTheme="minorHAnsi" w:eastAsia="Calibri" w:hAnsiTheme="minorHAnsi"/>
          <w:sz w:val="22"/>
          <w:szCs w:val="22"/>
        </w:rPr>
        <w:t xml:space="preserve">hat build </w:t>
      </w:r>
      <w:r w:rsidRPr="00AF1DD6">
        <w:rPr>
          <w:rFonts w:asciiTheme="minorHAnsi" w:eastAsia="Calibri" w:hAnsiTheme="minorHAnsi"/>
          <w:sz w:val="22"/>
          <w:szCs w:val="22"/>
        </w:rPr>
        <w:t>infrastructure</w:t>
      </w:r>
      <w:r>
        <w:rPr>
          <w:rFonts w:asciiTheme="minorHAnsi" w:eastAsia="Calibri" w:hAnsiTheme="minorHAnsi"/>
          <w:sz w:val="22"/>
          <w:szCs w:val="22"/>
        </w:rPr>
        <w:t xml:space="preserve"> and partnerships that advance </w:t>
      </w:r>
      <w:r w:rsidRPr="00AF1DD6">
        <w:rPr>
          <w:rFonts w:asciiTheme="minorHAnsi" w:eastAsia="Calibri" w:hAnsiTheme="minorHAnsi"/>
          <w:sz w:val="22"/>
          <w:szCs w:val="22"/>
        </w:rPr>
        <w:t>chemical scien</w:t>
      </w:r>
      <w:r>
        <w:rPr>
          <w:rFonts w:asciiTheme="minorHAnsi" w:eastAsia="Calibri" w:hAnsiTheme="minorHAnsi"/>
          <w:sz w:val="22"/>
          <w:szCs w:val="22"/>
        </w:rPr>
        <w:t xml:space="preserve">ces are also supported. </w:t>
      </w:r>
      <w:r w:rsidR="00106EE1">
        <w:rPr>
          <w:rFonts w:asciiTheme="minorHAnsi" w:eastAsia="Calibri" w:hAnsiTheme="minorHAnsi"/>
          <w:sz w:val="22"/>
          <w:szCs w:val="22"/>
        </w:rPr>
        <w:t>Proposal</w:t>
      </w:r>
      <w:r w:rsidRPr="00AF1DD6">
        <w:rPr>
          <w:rFonts w:asciiTheme="minorHAnsi" w:eastAsia="Calibri" w:hAnsiTheme="minorHAnsi"/>
          <w:sz w:val="22"/>
          <w:szCs w:val="22"/>
        </w:rPr>
        <w:t xml:space="preserve"> submis</w:t>
      </w:r>
      <w:r w:rsidR="00106EE1">
        <w:rPr>
          <w:rFonts w:asciiTheme="minorHAnsi" w:eastAsia="Calibri" w:hAnsiTheme="minorHAnsi"/>
          <w:sz w:val="22"/>
          <w:szCs w:val="22"/>
        </w:rPr>
        <w:t>sion windows are September 1</w:t>
      </w:r>
      <w:r>
        <w:rPr>
          <w:rFonts w:asciiTheme="minorHAnsi" w:eastAsia="Calibri" w:hAnsiTheme="minorHAnsi"/>
          <w:sz w:val="22"/>
          <w:szCs w:val="22"/>
        </w:rPr>
        <w:t>-</w:t>
      </w:r>
      <w:r w:rsidR="00106EE1">
        <w:rPr>
          <w:rFonts w:asciiTheme="minorHAnsi" w:eastAsia="Calibri" w:hAnsiTheme="minorHAnsi"/>
          <w:sz w:val="22"/>
          <w:szCs w:val="22"/>
        </w:rPr>
        <w:t xml:space="preserve"> September </w:t>
      </w:r>
      <w:r>
        <w:rPr>
          <w:rFonts w:asciiTheme="minorHAnsi" w:eastAsia="Calibri" w:hAnsiTheme="minorHAnsi"/>
          <w:sz w:val="22"/>
          <w:szCs w:val="22"/>
        </w:rPr>
        <w:t xml:space="preserve">30 and </w:t>
      </w:r>
      <w:r w:rsidR="00106EE1">
        <w:rPr>
          <w:rFonts w:asciiTheme="minorHAnsi" w:eastAsia="Calibri" w:hAnsiTheme="minorHAnsi"/>
          <w:sz w:val="22"/>
          <w:szCs w:val="22"/>
        </w:rPr>
        <w:t xml:space="preserve">October </w:t>
      </w:r>
      <w:r w:rsidRPr="00AF1DD6">
        <w:rPr>
          <w:rFonts w:asciiTheme="minorHAnsi" w:eastAsia="Calibri" w:hAnsiTheme="minorHAnsi"/>
          <w:sz w:val="22"/>
          <w:szCs w:val="22"/>
        </w:rPr>
        <w:t>1-</w:t>
      </w:r>
      <w:r w:rsidR="00106EE1">
        <w:rPr>
          <w:rFonts w:asciiTheme="minorHAnsi" w:eastAsia="Calibri" w:hAnsiTheme="minorHAnsi"/>
          <w:sz w:val="22"/>
          <w:szCs w:val="22"/>
        </w:rPr>
        <w:t xml:space="preserve"> October </w:t>
      </w:r>
      <w:r w:rsidRPr="00AF1DD6">
        <w:rPr>
          <w:rFonts w:asciiTheme="minorHAnsi" w:eastAsia="Calibri" w:hAnsiTheme="minorHAnsi"/>
          <w:sz w:val="22"/>
          <w:szCs w:val="22"/>
        </w:rPr>
        <w:t>31 depending</w:t>
      </w:r>
      <w:r>
        <w:rPr>
          <w:rFonts w:asciiTheme="minorHAnsi" w:eastAsia="Calibri" w:hAnsiTheme="minorHAnsi"/>
          <w:sz w:val="22"/>
          <w:szCs w:val="22"/>
        </w:rPr>
        <w:t xml:space="preserve"> on individual programs within </w:t>
      </w:r>
      <w:r w:rsidRPr="00AF1DD6">
        <w:rPr>
          <w:rFonts w:asciiTheme="minorHAnsi" w:eastAsia="Calibri" w:hAnsiTheme="minorHAnsi"/>
          <w:sz w:val="22"/>
          <w:szCs w:val="22"/>
        </w:rPr>
        <w:t>the Division of Chemistry.</w:t>
      </w:r>
      <w:r>
        <w:rPr>
          <w:rFonts w:asciiTheme="minorHAnsi" w:eastAsia="Calibri" w:hAnsiTheme="minorHAnsi"/>
          <w:sz w:val="22"/>
          <w:szCs w:val="22"/>
        </w:rPr>
        <w:t xml:space="preserve"> </w:t>
      </w:r>
      <w:r w:rsidR="00106EE1">
        <w:rPr>
          <w:rFonts w:asciiTheme="minorHAnsi" w:eastAsia="Calibri" w:hAnsiTheme="minorHAnsi"/>
          <w:sz w:val="22"/>
          <w:szCs w:val="22"/>
        </w:rPr>
        <w:t xml:space="preserve"> For more information, visit </w:t>
      </w:r>
      <w:hyperlink r:id="rId32" w:history="1">
        <w:r w:rsidR="00106EE1" w:rsidRPr="00106EE1">
          <w:rPr>
            <w:rStyle w:val="Hyperlink"/>
            <w:rFonts w:asciiTheme="minorHAnsi" w:eastAsia="Calibri" w:hAnsiTheme="minorHAnsi"/>
            <w:sz w:val="22"/>
            <w:szCs w:val="22"/>
          </w:rPr>
          <w:t>NSF.gov</w:t>
        </w:r>
      </w:hyperlink>
    </w:p>
    <w:p w:rsidR="00106EE1" w:rsidRPr="008706D1" w:rsidRDefault="00106EE1" w:rsidP="00AF1DD6">
      <w:pPr>
        <w:pStyle w:val="NormalWeb"/>
        <w:pBdr>
          <w:bottom w:val="single" w:sz="6" w:space="1" w:color="auto"/>
        </w:pBdr>
        <w:spacing w:before="0" w:after="0" w:line="240" w:lineRule="auto"/>
        <w:rPr>
          <w:rFonts w:asciiTheme="minorHAnsi" w:eastAsia="Calibri" w:hAnsiTheme="minorHAnsi"/>
          <w:sz w:val="20"/>
          <w:szCs w:val="22"/>
        </w:rPr>
      </w:pPr>
    </w:p>
    <w:p w:rsidR="00AF1DD6" w:rsidRDefault="00AF1DD6" w:rsidP="00A2599C">
      <w:pPr>
        <w:rPr>
          <w:b/>
          <w:sz w:val="20"/>
          <w:szCs w:val="20"/>
          <w:u w:val="single"/>
        </w:rPr>
      </w:pPr>
    </w:p>
    <w:p w:rsidR="008706D1" w:rsidRDefault="008706D1" w:rsidP="008706D1">
      <w:pPr>
        <w:pStyle w:val="NormalWeb"/>
        <w:spacing w:before="0" w:after="0" w:line="240" w:lineRule="auto"/>
        <w:rPr>
          <w:rFonts w:asciiTheme="minorHAnsi" w:eastAsia="Calibri" w:hAnsiTheme="minorHAnsi"/>
          <w:sz w:val="22"/>
          <w:szCs w:val="22"/>
        </w:rPr>
      </w:pPr>
      <w:r w:rsidRPr="008706D1">
        <w:rPr>
          <w:rFonts w:asciiTheme="minorHAnsi" w:eastAsia="Calibri" w:hAnsiTheme="minorHAnsi"/>
          <w:b/>
          <w:sz w:val="22"/>
          <w:szCs w:val="22"/>
        </w:rPr>
        <w:t>STEM for K-12 and Instit</w:t>
      </w:r>
      <w:r>
        <w:rPr>
          <w:rFonts w:asciiTheme="minorHAnsi" w:eastAsia="Calibri" w:hAnsiTheme="minorHAnsi"/>
          <w:b/>
          <w:sz w:val="22"/>
          <w:szCs w:val="22"/>
        </w:rPr>
        <w:t xml:space="preserve">utions of Higher </w:t>
      </w:r>
      <w:r w:rsidRPr="008706D1">
        <w:rPr>
          <w:rFonts w:asciiTheme="minorHAnsi" w:eastAsia="Calibri" w:hAnsiTheme="minorHAnsi"/>
          <w:b/>
          <w:sz w:val="22"/>
          <w:szCs w:val="22"/>
        </w:rPr>
        <w:t>Education</w:t>
      </w:r>
      <w:r>
        <w:rPr>
          <w:rFonts w:asciiTheme="minorHAnsi" w:eastAsia="Calibri" w:hAnsiTheme="minorHAnsi"/>
          <w:b/>
          <w:sz w:val="22"/>
          <w:szCs w:val="22"/>
        </w:rPr>
        <w:t xml:space="preserve">; </w:t>
      </w:r>
      <w:r w:rsidRPr="008706D1">
        <w:rPr>
          <w:rFonts w:asciiTheme="minorHAnsi" w:eastAsia="Calibri" w:hAnsiTheme="minorHAnsi"/>
          <w:b/>
          <w:sz w:val="22"/>
          <w:szCs w:val="22"/>
        </w:rPr>
        <w:t>U.S. Department of Defense</w:t>
      </w:r>
      <w:r>
        <w:rPr>
          <w:rFonts w:asciiTheme="minorHAnsi" w:eastAsia="Calibri" w:hAnsiTheme="minorHAnsi"/>
          <w:b/>
          <w:sz w:val="22"/>
          <w:szCs w:val="22"/>
        </w:rPr>
        <w:t xml:space="preserve">:  </w:t>
      </w:r>
      <w:r>
        <w:rPr>
          <w:rFonts w:asciiTheme="minorHAnsi" w:hAnsiTheme="minorHAnsi"/>
        </w:rPr>
        <w:t>s</w:t>
      </w:r>
      <w:r w:rsidRPr="008706D1">
        <w:rPr>
          <w:rFonts w:asciiTheme="minorHAnsi" w:eastAsia="Calibri" w:hAnsiTheme="minorHAnsi"/>
          <w:sz w:val="22"/>
          <w:szCs w:val="22"/>
        </w:rPr>
        <w:t>upports projec</w:t>
      </w:r>
      <w:r>
        <w:rPr>
          <w:rFonts w:asciiTheme="minorHAnsi" w:eastAsia="Calibri" w:hAnsiTheme="minorHAnsi"/>
          <w:sz w:val="22"/>
          <w:szCs w:val="22"/>
        </w:rPr>
        <w:t xml:space="preserve">ts that foster an interest in, </w:t>
      </w:r>
      <w:r w:rsidRPr="008706D1">
        <w:rPr>
          <w:rFonts w:asciiTheme="minorHAnsi" w:eastAsia="Calibri" w:hAnsiTheme="minorHAnsi"/>
          <w:sz w:val="22"/>
          <w:szCs w:val="22"/>
        </w:rPr>
        <w:t>knowledge of, and</w:t>
      </w:r>
      <w:r>
        <w:rPr>
          <w:rFonts w:asciiTheme="minorHAnsi" w:eastAsia="Calibri" w:hAnsiTheme="minorHAnsi"/>
          <w:sz w:val="22"/>
          <w:szCs w:val="22"/>
        </w:rPr>
        <w:t xml:space="preserve"> study in science, technology, </w:t>
      </w:r>
      <w:r w:rsidRPr="008706D1">
        <w:rPr>
          <w:rFonts w:asciiTheme="minorHAnsi" w:eastAsia="Calibri" w:hAnsiTheme="minorHAnsi"/>
          <w:sz w:val="22"/>
          <w:szCs w:val="22"/>
        </w:rPr>
        <w:t>engineering and m</w:t>
      </w:r>
      <w:r>
        <w:rPr>
          <w:rFonts w:asciiTheme="minorHAnsi" w:eastAsia="Calibri" w:hAnsiTheme="minorHAnsi"/>
          <w:sz w:val="22"/>
          <w:szCs w:val="22"/>
        </w:rPr>
        <w:t xml:space="preserve">athematics (STEM) to ensure an </w:t>
      </w:r>
      <w:r w:rsidRPr="008706D1">
        <w:rPr>
          <w:rFonts w:asciiTheme="minorHAnsi" w:eastAsia="Calibri" w:hAnsiTheme="minorHAnsi"/>
          <w:sz w:val="22"/>
          <w:szCs w:val="22"/>
        </w:rPr>
        <w:t>educated and well-pr</w:t>
      </w:r>
      <w:r>
        <w:rPr>
          <w:rFonts w:asciiTheme="minorHAnsi" w:eastAsia="Calibri" w:hAnsiTheme="minorHAnsi"/>
          <w:sz w:val="22"/>
          <w:szCs w:val="22"/>
        </w:rPr>
        <w:t xml:space="preserve">epared workforce, which meets </w:t>
      </w:r>
      <w:r w:rsidRPr="008706D1">
        <w:rPr>
          <w:rFonts w:asciiTheme="minorHAnsi" w:eastAsia="Calibri" w:hAnsiTheme="minorHAnsi"/>
          <w:sz w:val="22"/>
          <w:szCs w:val="22"/>
        </w:rPr>
        <w:t>the naval a</w:t>
      </w:r>
      <w:r>
        <w:rPr>
          <w:rFonts w:asciiTheme="minorHAnsi" w:eastAsia="Calibri" w:hAnsiTheme="minorHAnsi"/>
          <w:sz w:val="22"/>
          <w:szCs w:val="22"/>
        </w:rPr>
        <w:t>nd national competitive needs.</w:t>
      </w:r>
      <w:r w:rsidRPr="008706D1">
        <w:rPr>
          <w:rFonts w:asciiTheme="minorHAnsi" w:eastAsia="Calibri" w:hAnsiTheme="minorHAnsi"/>
          <w:sz w:val="22"/>
          <w:szCs w:val="22"/>
        </w:rPr>
        <w:t xml:space="preserve"> Deadline is </w:t>
      </w:r>
      <w:r>
        <w:rPr>
          <w:rFonts w:asciiTheme="minorHAnsi" w:eastAsia="Calibri" w:hAnsiTheme="minorHAnsi"/>
          <w:sz w:val="22"/>
          <w:szCs w:val="22"/>
        </w:rPr>
        <w:t>September</w:t>
      </w:r>
      <w:r w:rsidRPr="008706D1">
        <w:rPr>
          <w:rFonts w:asciiTheme="minorHAnsi" w:eastAsia="Calibri" w:hAnsiTheme="minorHAnsi"/>
          <w:sz w:val="22"/>
          <w:szCs w:val="22"/>
        </w:rPr>
        <w:t xml:space="preserve"> 30, 2014</w:t>
      </w:r>
      <w:r>
        <w:rPr>
          <w:rFonts w:asciiTheme="minorHAnsi" w:eastAsia="Calibri" w:hAnsiTheme="minorHAnsi"/>
          <w:sz w:val="22"/>
          <w:szCs w:val="22"/>
        </w:rPr>
        <w:t xml:space="preserve"> </w:t>
      </w:r>
      <w:r w:rsidRPr="008706D1">
        <w:rPr>
          <w:rFonts w:asciiTheme="minorHAnsi" w:eastAsia="Calibri" w:hAnsiTheme="minorHAnsi"/>
          <w:sz w:val="22"/>
          <w:szCs w:val="22"/>
        </w:rPr>
        <w:t>for required pre-proposals.</w:t>
      </w:r>
      <w:r>
        <w:rPr>
          <w:rFonts w:asciiTheme="minorHAnsi" w:eastAsia="Calibri" w:hAnsiTheme="minorHAnsi"/>
          <w:sz w:val="22"/>
          <w:szCs w:val="22"/>
        </w:rPr>
        <w:t xml:space="preserve"> For more information, visit </w:t>
      </w:r>
      <w:hyperlink r:id="rId33" w:history="1">
        <w:r w:rsidRPr="008706D1">
          <w:rPr>
            <w:rStyle w:val="Hyperlink"/>
            <w:rFonts w:asciiTheme="minorHAnsi" w:eastAsia="Calibri" w:hAnsiTheme="minorHAnsi"/>
            <w:sz w:val="22"/>
            <w:szCs w:val="22"/>
          </w:rPr>
          <w:t>onr.navy.mil</w:t>
        </w:r>
      </w:hyperlink>
    </w:p>
    <w:p w:rsidR="008706D1" w:rsidRPr="008706D1" w:rsidRDefault="008706D1" w:rsidP="008706D1">
      <w:pPr>
        <w:pStyle w:val="NormalWeb"/>
        <w:pBdr>
          <w:bottom w:val="single" w:sz="6" w:space="1" w:color="auto"/>
        </w:pBdr>
        <w:spacing w:before="0" w:after="0" w:line="240" w:lineRule="auto"/>
        <w:rPr>
          <w:rFonts w:asciiTheme="minorHAnsi" w:eastAsia="Calibri" w:hAnsiTheme="minorHAnsi"/>
          <w:sz w:val="20"/>
          <w:szCs w:val="22"/>
        </w:rPr>
      </w:pPr>
    </w:p>
    <w:p w:rsidR="008706D1" w:rsidRDefault="008706D1" w:rsidP="00A2599C">
      <w:pPr>
        <w:rPr>
          <w:b/>
          <w:sz w:val="20"/>
          <w:szCs w:val="20"/>
          <w:u w:val="single"/>
        </w:rPr>
      </w:pPr>
    </w:p>
    <w:p w:rsidR="007074FE" w:rsidRDefault="000272FA" w:rsidP="00A2599C">
      <w:pPr>
        <w:pBdr>
          <w:bottom w:val="single" w:sz="6" w:space="1" w:color="auto"/>
        </w:pBdr>
        <w:rPr>
          <w:rFonts w:asciiTheme="minorHAnsi" w:hAnsiTheme="minorHAnsi"/>
        </w:rPr>
      </w:pPr>
      <w:r w:rsidRPr="000272FA">
        <w:rPr>
          <w:rFonts w:asciiTheme="minorHAnsi" w:hAnsiTheme="minorHAnsi" w:cs="Arial"/>
          <w:b/>
        </w:rPr>
        <w:t>Methodolo</w:t>
      </w:r>
      <w:r>
        <w:rPr>
          <w:rFonts w:asciiTheme="minorHAnsi" w:hAnsiTheme="minorHAnsi" w:cs="Arial"/>
          <w:b/>
        </w:rPr>
        <w:t xml:space="preserve">gy, Measurement, and Statistics; </w:t>
      </w:r>
      <w:r w:rsidRPr="000272FA">
        <w:rPr>
          <w:rFonts w:asciiTheme="minorHAnsi" w:hAnsiTheme="minorHAnsi" w:cs="Arial"/>
          <w:b/>
        </w:rPr>
        <w:t>National Science Foundation (NSF); Directorate for Social, Behavioral &amp; Economic Sciences; Division of Social and Economic Sciences</w:t>
      </w:r>
      <w:r>
        <w:rPr>
          <w:rFonts w:asciiTheme="minorHAnsi" w:hAnsiTheme="minorHAnsi" w:cs="Arial"/>
          <w:b/>
        </w:rPr>
        <w:t>:</w:t>
      </w:r>
      <w:r>
        <w:rPr>
          <w:rFonts w:asciiTheme="minorHAnsi" w:hAnsiTheme="minorHAnsi" w:cs="Arial"/>
        </w:rPr>
        <w:t xml:space="preserve"> </w:t>
      </w:r>
      <w:r w:rsidRPr="000272FA">
        <w:rPr>
          <w:rFonts w:asciiTheme="minorHAnsi" w:hAnsiTheme="minorHAnsi" w:cs="Arial"/>
        </w:rPr>
        <w:t>seek</w:t>
      </w:r>
      <w:r>
        <w:rPr>
          <w:rFonts w:asciiTheme="minorHAnsi" w:hAnsiTheme="minorHAnsi" w:cs="Arial"/>
        </w:rPr>
        <w:t>s</w:t>
      </w:r>
      <w:r w:rsidRPr="000272FA">
        <w:rPr>
          <w:rFonts w:asciiTheme="minorHAnsi" w:hAnsiTheme="minorHAnsi" w:cs="Arial"/>
        </w:rPr>
        <w:t xml:space="preserve"> proposals to develop innovative, analytical, and statistical methods and models for social, econ</w:t>
      </w:r>
      <w:r>
        <w:rPr>
          <w:rFonts w:asciiTheme="minorHAnsi" w:hAnsiTheme="minorHAnsi" w:cs="Arial"/>
        </w:rPr>
        <w:t xml:space="preserve">omic, and behavioral sciences. </w:t>
      </w:r>
      <w:r w:rsidRPr="000272FA">
        <w:rPr>
          <w:rFonts w:asciiTheme="minorHAnsi" w:hAnsiTheme="minorHAnsi" w:cs="Arial"/>
        </w:rPr>
        <w:t>Applications are due September 02, 2014. Four types of awards are available: Regular Research Awards; Awards for conferences, workshops, and community-development activities; Doctoral Dissertation Research Improvement (DDRI) Grants; and Research Experience for Un</w:t>
      </w:r>
      <w:r>
        <w:rPr>
          <w:rFonts w:asciiTheme="minorHAnsi" w:hAnsiTheme="minorHAnsi" w:cs="Arial"/>
        </w:rPr>
        <w:t xml:space="preserve">dergraduates (REU) Supplements. For more information, visit </w:t>
      </w:r>
      <w:hyperlink r:id="rId34" w:history="1">
        <w:r w:rsidRPr="000272FA">
          <w:rPr>
            <w:rStyle w:val="Hyperlink"/>
            <w:rFonts w:asciiTheme="minorHAnsi" w:hAnsiTheme="minorHAnsi" w:cs="Arial"/>
          </w:rPr>
          <w:t>Solicitation</w:t>
        </w:r>
      </w:hyperlink>
      <w:r w:rsidRPr="000272FA">
        <w:rPr>
          <w:rFonts w:asciiTheme="minorHAnsi" w:hAnsiTheme="minorHAnsi" w:cs="Arial"/>
        </w:rPr>
        <w:t xml:space="preserve">, </w:t>
      </w:r>
      <w:hyperlink r:id="rId35" w:history="1">
        <w:r w:rsidRPr="000272FA">
          <w:rPr>
            <w:rStyle w:val="Hyperlink"/>
            <w:rFonts w:asciiTheme="minorHAnsi" w:hAnsiTheme="minorHAnsi" w:cs="Arial"/>
          </w:rPr>
          <w:t>Grants.gov</w:t>
        </w:r>
      </w:hyperlink>
    </w:p>
    <w:p w:rsidR="007074FE" w:rsidRDefault="007074FE" w:rsidP="00A2599C">
      <w:pPr>
        <w:pBdr>
          <w:bottom w:val="single" w:sz="6" w:space="1" w:color="auto"/>
        </w:pBdr>
        <w:rPr>
          <w:rFonts w:asciiTheme="minorHAnsi" w:hAnsiTheme="minorHAnsi"/>
        </w:rPr>
      </w:pPr>
    </w:p>
    <w:p w:rsidR="0030346D" w:rsidRPr="0030346D" w:rsidRDefault="0030346D" w:rsidP="00B038C1">
      <w:pPr>
        <w:rPr>
          <w:rFonts w:asciiTheme="minorHAnsi" w:hAnsiTheme="minorHAnsi" w:cs="Arial"/>
          <w:b/>
          <w:sz w:val="20"/>
        </w:rPr>
      </w:pPr>
    </w:p>
    <w:p w:rsidR="00EF3959" w:rsidRPr="00B038C1" w:rsidRDefault="00CB24F9" w:rsidP="00B038C1">
      <w:pPr>
        <w:rPr>
          <w:rFonts w:asciiTheme="minorHAnsi" w:hAnsiTheme="minorHAnsi" w:cs="Arial"/>
        </w:rPr>
      </w:pPr>
      <w:r w:rsidRPr="00CB24F9">
        <w:rPr>
          <w:rFonts w:asciiTheme="minorHAnsi" w:hAnsiTheme="minorHAnsi" w:cs="Arial"/>
          <w:b/>
        </w:rPr>
        <w:t>Topology</w:t>
      </w:r>
      <w:r>
        <w:rPr>
          <w:rFonts w:asciiTheme="minorHAnsi" w:hAnsiTheme="minorHAnsi" w:cs="Arial"/>
          <w:b/>
        </w:rPr>
        <w:t xml:space="preserve">; National Science Foundation (NSF): </w:t>
      </w:r>
      <w:r w:rsidRPr="00457228">
        <w:rPr>
          <w:rFonts w:asciiTheme="minorHAnsi" w:hAnsiTheme="minorHAnsi" w:cs="Arial"/>
        </w:rPr>
        <w:t>s</w:t>
      </w:r>
      <w:r w:rsidRPr="00CB24F9">
        <w:rPr>
          <w:rFonts w:asciiTheme="minorHAnsi" w:hAnsiTheme="minorHAnsi" w:cs="Arial"/>
        </w:rPr>
        <w:t xml:space="preserve">upports research on algebraic topology, including </w:t>
      </w:r>
      <w:proofErr w:type="spellStart"/>
      <w:r w:rsidRPr="00CB24F9">
        <w:rPr>
          <w:rFonts w:asciiTheme="minorHAnsi" w:hAnsiTheme="minorHAnsi" w:cs="Arial"/>
        </w:rPr>
        <w:t>homotopy</w:t>
      </w:r>
      <w:proofErr w:type="spellEnd"/>
      <w:r w:rsidRPr="00CB24F9">
        <w:rPr>
          <w:rFonts w:asciiTheme="minorHAnsi" w:hAnsiTheme="minorHAnsi" w:cs="Arial"/>
        </w:rPr>
        <w:t xml:space="preserve"> theory, ordinary and extraordinary homology and </w:t>
      </w:r>
      <w:proofErr w:type="spellStart"/>
      <w:r w:rsidRPr="00CB24F9">
        <w:rPr>
          <w:rFonts w:asciiTheme="minorHAnsi" w:hAnsiTheme="minorHAnsi" w:cs="Arial"/>
        </w:rPr>
        <w:t>cohomology</w:t>
      </w:r>
      <w:proofErr w:type="spellEnd"/>
      <w:r w:rsidRPr="00CB24F9">
        <w:rPr>
          <w:rFonts w:asciiTheme="minorHAnsi" w:hAnsiTheme="minorHAnsi" w:cs="Arial"/>
        </w:rPr>
        <w:t xml:space="preserve">, </w:t>
      </w:r>
      <w:proofErr w:type="spellStart"/>
      <w:r w:rsidRPr="00CB24F9">
        <w:rPr>
          <w:rFonts w:asciiTheme="minorHAnsi" w:hAnsiTheme="minorHAnsi" w:cs="Arial"/>
        </w:rPr>
        <w:t>cobordism</w:t>
      </w:r>
      <w:proofErr w:type="spellEnd"/>
      <w:r w:rsidRPr="00CB24F9">
        <w:rPr>
          <w:rFonts w:asciiTheme="minorHAnsi" w:hAnsiTheme="minorHAnsi" w:cs="Arial"/>
        </w:rPr>
        <w:t xml:space="preserve"> theory, and K-theory; topological manifolds and cell complexes, </w:t>
      </w:r>
      <w:proofErr w:type="spellStart"/>
      <w:r w:rsidRPr="00CB24F9">
        <w:rPr>
          <w:rFonts w:asciiTheme="minorHAnsi" w:hAnsiTheme="minorHAnsi" w:cs="Arial"/>
        </w:rPr>
        <w:t>fiberings</w:t>
      </w:r>
      <w:proofErr w:type="spellEnd"/>
      <w:r w:rsidRPr="00CB24F9">
        <w:rPr>
          <w:rFonts w:asciiTheme="minorHAnsi" w:hAnsiTheme="minorHAnsi" w:cs="Arial"/>
        </w:rPr>
        <w:t>, knots, and links; differential topology and actions of groups of transformations; geometric group theory; and general topology and continua theory.</w:t>
      </w:r>
      <w:r>
        <w:rPr>
          <w:rFonts w:asciiTheme="minorHAnsi" w:hAnsiTheme="minorHAnsi" w:cs="Arial"/>
        </w:rPr>
        <w:t xml:space="preserve"> Proposals are due November 4, 2014. For more information, visit </w:t>
      </w:r>
      <w:hyperlink r:id="rId36" w:history="1">
        <w:r w:rsidRPr="00CB24F9">
          <w:rPr>
            <w:rStyle w:val="Hyperlink"/>
            <w:rFonts w:asciiTheme="minorHAnsi" w:hAnsiTheme="minorHAnsi" w:cs="Arial"/>
          </w:rPr>
          <w:t>PIVOT</w:t>
        </w:r>
      </w:hyperlink>
      <w:r>
        <w:rPr>
          <w:rFonts w:asciiTheme="minorHAnsi" w:hAnsiTheme="minorHAnsi" w:cs="Arial"/>
        </w:rPr>
        <w:t xml:space="preserve"> </w:t>
      </w:r>
      <w:hyperlink r:id="rId37" w:history="1">
        <w:r w:rsidRPr="00CB24F9">
          <w:rPr>
            <w:rStyle w:val="Hyperlink"/>
            <w:rFonts w:asciiTheme="minorHAnsi" w:hAnsiTheme="minorHAnsi" w:cs="Arial"/>
          </w:rPr>
          <w:t>NSF.gov</w:t>
        </w:r>
      </w:hyperlink>
      <w:bookmarkStart w:id="6" w:name="psy"/>
    </w:p>
    <w:bookmarkEnd w:id="6"/>
    <w:p w:rsidR="00A2599C" w:rsidRDefault="00A2599C" w:rsidP="00A2599C">
      <w:pPr>
        <w:pBdr>
          <w:bottom w:val="single" w:sz="6" w:space="1" w:color="auto"/>
        </w:pBdr>
        <w:rPr>
          <w:b/>
          <w:sz w:val="20"/>
          <w:szCs w:val="20"/>
          <w:u w:val="single"/>
        </w:rPr>
      </w:pPr>
    </w:p>
    <w:p w:rsidR="00A2599C" w:rsidRDefault="00A2599C" w:rsidP="00A2599C">
      <w:pPr>
        <w:pStyle w:val="PlainText"/>
        <w:rPr>
          <w:rFonts w:ascii="Calibri" w:hAnsi="Calibri"/>
          <w:b/>
        </w:rPr>
      </w:pPr>
    </w:p>
    <w:p w:rsidR="00A2599C" w:rsidRDefault="00A2599C" w:rsidP="00A2599C">
      <w:pPr>
        <w:pStyle w:val="PlainText"/>
        <w:rPr>
          <w:rFonts w:ascii="Calibri" w:hAnsi="Calibri"/>
          <w:b/>
          <w:sz w:val="28"/>
          <w:szCs w:val="28"/>
          <w:u w:val="single"/>
        </w:rPr>
      </w:pPr>
      <w:bookmarkStart w:id="7" w:name="soc"/>
      <w:r>
        <w:rPr>
          <w:rFonts w:ascii="Calibri" w:hAnsi="Calibri"/>
          <w:b/>
          <w:sz w:val="28"/>
          <w:szCs w:val="28"/>
          <w:u w:val="single"/>
        </w:rPr>
        <w:lastRenderedPageBreak/>
        <w:t>Social Sciences</w:t>
      </w:r>
    </w:p>
    <w:bookmarkEnd w:id="7"/>
    <w:p w:rsidR="00B92311" w:rsidRPr="004E477A" w:rsidRDefault="00B92311" w:rsidP="00B92311">
      <w:pPr>
        <w:pStyle w:val="Heading3"/>
        <w:shd w:val="clear" w:color="auto" w:fill="FFFFFF"/>
        <w:spacing w:before="0" w:beforeAutospacing="0" w:after="0" w:afterAutospacing="0"/>
        <w:rPr>
          <w:rFonts w:asciiTheme="minorHAnsi" w:eastAsia="Calibri" w:hAnsiTheme="minorHAnsi" w:cs="Arial"/>
          <w:b w:val="0"/>
          <w:bCs w:val="0"/>
          <w:sz w:val="22"/>
          <w:szCs w:val="22"/>
        </w:rPr>
      </w:pPr>
    </w:p>
    <w:p w:rsidR="00B92311" w:rsidRPr="004E477A" w:rsidRDefault="00B92311" w:rsidP="00B92311">
      <w:pPr>
        <w:pStyle w:val="Heading3"/>
        <w:shd w:val="clear" w:color="auto" w:fill="FFFFFF"/>
        <w:spacing w:before="0" w:beforeAutospacing="0" w:after="0" w:afterAutospacing="0"/>
        <w:rPr>
          <w:rFonts w:asciiTheme="minorHAnsi" w:hAnsiTheme="minorHAnsi"/>
          <w:b w:val="0"/>
          <w:sz w:val="22"/>
          <w:szCs w:val="22"/>
        </w:rPr>
      </w:pPr>
      <w:r w:rsidRPr="004E477A">
        <w:rPr>
          <w:rFonts w:asciiTheme="minorHAnsi" w:eastAsia="Calibri" w:hAnsiTheme="minorHAnsi" w:cs="Arial"/>
          <w:bCs w:val="0"/>
          <w:sz w:val="22"/>
          <w:szCs w:val="22"/>
        </w:rPr>
        <w:t>Secondary Analyses of Strengthening Families Datasets; Department of Health and Human Services</w:t>
      </w:r>
      <w:r w:rsidRPr="004E477A">
        <w:rPr>
          <w:rFonts w:asciiTheme="minorHAnsi" w:eastAsia="Calibri" w:hAnsiTheme="minorHAnsi" w:cs="Arial"/>
          <w:bCs w:val="0"/>
          <w:sz w:val="22"/>
          <w:szCs w:val="22"/>
        </w:rPr>
        <w:br/>
        <w:t xml:space="preserve">Administration for Children and Families: </w:t>
      </w:r>
      <w:r w:rsidRPr="004E477A">
        <w:rPr>
          <w:rFonts w:asciiTheme="minorHAnsi" w:eastAsia="Calibri" w:hAnsiTheme="minorHAnsi" w:cs="Arial"/>
          <w:b w:val="0"/>
          <w:bCs w:val="0"/>
          <w:sz w:val="22"/>
          <w:szCs w:val="22"/>
        </w:rPr>
        <w:t>supports research that addresses topics relevant to strengthening families to improve the lives of children and parents and promote economic stability. Topics of interest include, but may not be limited to, mediators of relationship education programs, the measurement of relationship education and fatherhood with low-income families, or father involvement in low-income families.</w:t>
      </w:r>
      <w:r w:rsidRPr="004E477A">
        <w:rPr>
          <w:rFonts w:asciiTheme="minorHAnsi" w:eastAsia="Calibri" w:hAnsiTheme="minorHAnsi"/>
          <w:b w:val="0"/>
          <w:bCs w:val="0"/>
          <w:sz w:val="22"/>
          <w:szCs w:val="22"/>
        </w:rPr>
        <w:t> </w:t>
      </w:r>
      <w:r w:rsidR="00866B08" w:rsidRPr="004E477A">
        <w:rPr>
          <w:rFonts w:asciiTheme="minorHAnsi" w:eastAsia="Calibri" w:hAnsiTheme="minorHAnsi" w:cs="Arial"/>
          <w:b w:val="0"/>
          <w:bCs w:val="0"/>
          <w:sz w:val="22"/>
          <w:szCs w:val="22"/>
        </w:rPr>
        <w:t xml:space="preserve">Data collection activities are not allowed with the funds for this grant. Proposals are due July 16, 2014. For more information, visit </w:t>
      </w:r>
      <w:hyperlink r:id="rId38" w:history="1">
        <w:r w:rsidR="00866B08" w:rsidRPr="004E477A">
          <w:rPr>
            <w:rStyle w:val="Hyperlink"/>
            <w:rFonts w:asciiTheme="minorHAnsi" w:eastAsia="Calibri" w:hAnsiTheme="minorHAnsi" w:cs="Arial"/>
            <w:b w:val="0"/>
            <w:bCs w:val="0"/>
            <w:sz w:val="22"/>
            <w:szCs w:val="22"/>
          </w:rPr>
          <w:t>Grants.gov</w:t>
        </w:r>
      </w:hyperlink>
      <w:r w:rsidR="00866B08" w:rsidRPr="004E477A">
        <w:rPr>
          <w:rFonts w:asciiTheme="minorHAnsi" w:eastAsia="Calibri" w:hAnsiTheme="minorHAnsi" w:cs="Arial"/>
          <w:b w:val="0"/>
          <w:bCs w:val="0"/>
          <w:sz w:val="22"/>
          <w:szCs w:val="22"/>
        </w:rPr>
        <w:t xml:space="preserve"> </w:t>
      </w:r>
      <w:hyperlink r:id="rId39" w:history="1">
        <w:r w:rsidR="00866B08" w:rsidRPr="004E477A">
          <w:rPr>
            <w:rStyle w:val="Hyperlink"/>
            <w:rFonts w:asciiTheme="minorHAnsi" w:eastAsia="Calibri" w:hAnsiTheme="minorHAnsi" w:cs="Arial"/>
            <w:b w:val="0"/>
            <w:bCs w:val="0"/>
            <w:sz w:val="22"/>
            <w:szCs w:val="22"/>
          </w:rPr>
          <w:t>Solicitation</w:t>
        </w:r>
      </w:hyperlink>
      <w:r w:rsidR="00866B08" w:rsidRPr="004E477A">
        <w:rPr>
          <w:rFonts w:asciiTheme="minorHAnsi" w:eastAsia="Calibri" w:hAnsiTheme="minorHAnsi" w:cs="Arial"/>
          <w:b w:val="0"/>
          <w:bCs w:val="0"/>
          <w:sz w:val="22"/>
          <w:szCs w:val="22"/>
        </w:rPr>
        <w:t xml:space="preserve"> </w:t>
      </w:r>
    </w:p>
    <w:p w:rsidR="00B92311" w:rsidRDefault="00B92311" w:rsidP="00A2599C">
      <w:pPr>
        <w:pStyle w:val="PlainText"/>
        <w:pBdr>
          <w:bottom w:val="single" w:sz="6" w:space="1" w:color="auto"/>
        </w:pBdr>
        <w:rPr>
          <w:rFonts w:ascii="Calibri" w:hAnsi="Calibri"/>
          <w:sz w:val="20"/>
          <w:szCs w:val="20"/>
        </w:rPr>
      </w:pPr>
    </w:p>
    <w:p w:rsidR="00A2599C" w:rsidRDefault="00A2599C" w:rsidP="00A2599C">
      <w:pPr>
        <w:pStyle w:val="PlainText"/>
        <w:rPr>
          <w:rFonts w:ascii="Calibri" w:hAnsi="Calibri"/>
          <w:sz w:val="20"/>
          <w:szCs w:val="20"/>
        </w:rPr>
      </w:pPr>
    </w:p>
    <w:p w:rsidR="00357456" w:rsidRDefault="00357456" w:rsidP="00357456">
      <w:pPr>
        <w:pStyle w:val="NormalWeb"/>
        <w:pBdr>
          <w:bottom w:val="single" w:sz="6" w:space="1" w:color="auto"/>
        </w:pBdr>
        <w:spacing w:before="0" w:after="0" w:line="240" w:lineRule="auto"/>
        <w:rPr>
          <w:rFonts w:asciiTheme="minorHAnsi" w:eastAsia="Calibri" w:hAnsiTheme="minorHAnsi"/>
          <w:sz w:val="22"/>
          <w:szCs w:val="22"/>
        </w:rPr>
      </w:pPr>
      <w:r w:rsidRPr="00357456">
        <w:rPr>
          <w:rFonts w:asciiTheme="minorHAnsi" w:eastAsia="Calibri" w:hAnsiTheme="minorHAnsi"/>
          <w:b/>
          <w:color w:val="auto"/>
          <w:sz w:val="22"/>
          <w:szCs w:val="22"/>
        </w:rPr>
        <w:t>Bridges to the Baccalaureate Program</w:t>
      </w:r>
      <w:r>
        <w:rPr>
          <w:rFonts w:asciiTheme="minorHAnsi" w:eastAsia="Calibri" w:hAnsiTheme="minorHAnsi"/>
          <w:b/>
          <w:color w:val="auto"/>
          <w:sz w:val="22"/>
          <w:szCs w:val="22"/>
        </w:rPr>
        <w:t xml:space="preserve">; </w:t>
      </w:r>
      <w:r w:rsidRPr="00357456">
        <w:rPr>
          <w:rFonts w:asciiTheme="minorHAnsi" w:eastAsia="Calibri" w:hAnsiTheme="minorHAnsi"/>
          <w:b/>
          <w:color w:val="auto"/>
          <w:sz w:val="22"/>
          <w:szCs w:val="22"/>
        </w:rPr>
        <w:t>National Institutes of Health</w:t>
      </w:r>
      <w:r>
        <w:rPr>
          <w:rFonts w:asciiTheme="minorHAnsi" w:eastAsia="Calibri" w:hAnsiTheme="minorHAnsi"/>
          <w:b/>
          <w:color w:val="auto"/>
          <w:sz w:val="22"/>
          <w:szCs w:val="22"/>
        </w:rPr>
        <w:t xml:space="preserve"> (NIH): </w:t>
      </w:r>
      <w:r>
        <w:rPr>
          <w:rFonts w:asciiTheme="minorHAnsi" w:hAnsiTheme="minorHAnsi"/>
          <w:sz w:val="22"/>
          <w:szCs w:val="22"/>
        </w:rPr>
        <w:t>s</w:t>
      </w:r>
      <w:r w:rsidRPr="00357456">
        <w:rPr>
          <w:rFonts w:asciiTheme="minorHAnsi" w:eastAsia="Calibri" w:hAnsiTheme="minorHAnsi"/>
          <w:sz w:val="22"/>
          <w:szCs w:val="22"/>
        </w:rPr>
        <w:t>upports partners</w:t>
      </w:r>
      <w:r>
        <w:rPr>
          <w:rFonts w:asciiTheme="minorHAnsi" w:eastAsia="Calibri" w:hAnsiTheme="minorHAnsi"/>
          <w:sz w:val="22"/>
          <w:szCs w:val="22"/>
        </w:rPr>
        <w:t>hips between two-year and four-</w:t>
      </w:r>
      <w:r w:rsidRPr="00357456">
        <w:rPr>
          <w:rFonts w:asciiTheme="minorHAnsi" w:eastAsia="Calibri" w:hAnsiTheme="minorHAnsi"/>
          <w:sz w:val="22"/>
          <w:szCs w:val="22"/>
        </w:rPr>
        <w:t>year colleges/</w:t>
      </w:r>
      <w:r>
        <w:rPr>
          <w:rFonts w:asciiTheme="minorHAnsi" w:eastAsia="Calibri" w:hAnsiTheme="minorHAnsi"/>
          <w:sz w:val="22"/>
          <w:szCs w:val="22"/>
        </w:rPr>
        <w:t xml:space="preserve">universities to facilitate the </w:t>
      </w:r>
      <w:r w:rsidRPr="00357456">
        <w:rPr>
          <w:rFonts w:asciiTheme="minorHAnsi" w:eastAsia="Calibri" w:hAnsiTheme="minorHAnsi"/>
          <w:sz w:val="22"/>
          <w:szCs w:val="22"/>
        </w:rPr>
        <w:t xml:space="preserve">transition </w:t>
      </w:r>
      <w:r>
        <w:rPr>
          <w:rFonts w:asciiTheme="minorHAnsi" w:eastAsia="Calibri" w:hAnsiTheme="minorHAnsi"/>
          <w:sz w:val="22"/>
          <w:szCs w:val="22"/>
        </w:rPr>
        <w:t xml:space="preserve">of underrepresented minority </w:t>
      </w:r>
      <w:r w:rsidRPr="00357456">
        <w:rPr>
          <w:rFonts w:asciiTheme="minorHAnsi" w:eastAsia="Calibri" w:hAnsiTheme="minorHAnsi"/>
          <w:sz w:val="22"/>
          <w:szCs w:val="22"/>
        </w:rPr>
        <w:t>students into ba</w:t>
      </w:r>
      <w:r>
        <w:rPr>
          <w:rFonts w:asciiTheme="minorHAnsi" w:eastAsia="Calibri" w:hAnsiTheme="minorHAnsi"/>
          <w:sz w:val="22"/>
          <w:szCs w:val="22"/>
        </w:rPr>
        <w:t xml:space="preserve">ccalaureate degree programs in </w:t>
      </w:r>
      <w:r w:rsidRPr="00357456">
        <w:rPr>
          <w:rFonts w:asciiTheme="minorHAnsi" w:eastAsia="Calibri" w:hAnsiTheme="minorHAnsi"/>
          <w:sz w:val="22"/>
          <w:szCs w:val="22"/>
        </w:rPr>
        <w:t>biomedical and behavioral sciences</w:t>
      </w:r>
      <w:r>
        <w:rPr>
          <w:rFonts w:asciiTheme="minorHAnsi" w:eastAsia="Calibri" w:hAnsiTheme="minorHAnsi"/>
          <w:sz w:val="22"/>
          <w:szCs w:val="22"/>
        </w:rPr>
        <w:t xml:space="preserve">. The goal is to </w:t>
      </w:r>
      <w:r w:rsidRPr="00357456">
        <w:rPr>
          <w:rFonts w:asciiTheme="minorHAnsi" w:eastAsia="Calibri" w:hAnsiTheme="minorHAnsi"/>
          <w:sz w:val="22"/>
          <w:szCs w:val="22"/>
        </w:rPr>
        <w:t>increase the pool of two-year col</w:t>
      </w:r>
      <w:r>
        <w:rPr>
          <w:rFonts w:asciiTheme="minorHAnsi" w:eastAsia="Calibri" w:hAnsiTheme="minorHAnsi"/>
          <w:sz w:val="22"/>
          <w:szCs w:val="22"/>
        </w:rPr>
        <w:t xml:space="preserve">lege students from </w:t>
      </w:r>
      <w:r w:rsidRPr="00357456">
        <w:rPr>
          <w:rFonts w:asciiTheme="minorHAnsi" w:eastAsia="Calibri" w:hAnsiTheme="minorHAnsi"/>
          <w:sz w:val="22"/>
          <w:szCs w:val="22"/>
        </w:rPr>
        <w:t>underrepresented bac</w:t>
      </w:r>
      <w:r>
        <w:rPr>
          <w:rFonts w:asciiTheme="minorHAnsi" w:eastAsia="Calibri" w:hAnsiTheme="minorHAnsi"/>
          <w:sz w:val="22"/>
          <w:szCs w:val="22"/>
        </w:rPr>
        <w:t xml:space="preserve">kgrounds who go on to research </w:t>
      </w:r>
      <w:r w:rsidRPr="00357456">
        <w:rPr>
          <w:rFonts w:asciiTheme="minorHAnsi" w:eastAsia="Calibri" w:hAnsiTheme="minorHAnsi"/>
          <w:sz w:val="22"/>
          <w:szCs w:val="22"/>
        </w:rPr>
        <w:t>careers. Specifi</w:t>
      </w:r>
      <w:r>
        <w:rPr>
          <w:rFonts w:asciiTheme="minorHAnsi" w:eastAsia="Calibri" w:hAnsiTheme="minorHAnsi"/>
          <w:sz w:val="22"/>
          <w:szCs w:val="22"/>
        </w:rPr>
        <w:t>c aims must be based on a self-</w:t>
      </w:r>
      <w:r w:rsidRPr="00357456">
        <w:rPr>
          <w:rFonts w:asciiTheme="minorHAnsi" w:eastAsia="Calibri" w:hAnsiTheme="minorHAnsi"/>
          <w:sz w:val="22"/>
          <w:szCs w:val="22"/>
        </w:rPr>
        <w:t xml:space="preserve">assessment that is consonant with the overall goals and objective. </w:t>
      </w:r>
      <w:r>
        <w:rPr>
          <w:rFonts w:asciiTheme="minorHAnsi" w:eastAsia="Calibri" w:hAnsiTheme="minorHAnsi"/>
          <w:sz w:val="22"/>
          <w:szCs w:val="22"/>
        </w:rPr>
        <w:t>Proposals are due</w:t>
      </w:r>
      <w:r w:rsidRPr="00357456">
        <w:rPr>
          <w:rFonts w:asciiTheme="minorHAnsi" w:eastAsia="Calibri" w:hAnsiTheme="minorHAnsi"/>
          <w:sz w:val="22"/>
          <w:szCs w:val="22"/>
        </w:rPr>
        <w:t xml:space="preserve"> Sep</w:t>
      </w:r>
      <w:r>
        <w:rPr>
          <w:rFonts w:asciiTheme="minorHAnsi" w:eastAsia="Calibri" w:hAnsiTheme="minorHAnsi"/>
          <w:sz w:val="22"/>
          <w:szCs w:val="22"/>
        </w:rPr>
        <w:t>tember</w:t>
      </w:r>
      <w:r w:rsidRPr="00357456">
        <w:rPr>
          <w:rFonts w:asciiTheme="minorHAnsi" w:eastAsia="Calibri" w:hAnsiTheme="minorHAnsi"/>
          <w:sz w:val="22"/>
          <w:szCs w:val="22"/>
        </w:rPr>
        <w:t xml:space="preserve"> 25, 2014</w:t>
      </w:r>
      <w:r>
        <w:rPr>
          <w:rFonts w:asciiTheme="minorHAnsi" w:eastAsia="Calibri" w:hAnsiTheme="minorHAnsi"/>
          <w:sz w:val="22"/>
          <w:szCs w:val="22"/>
        </w:rPr>
        <w:t xml:space="preserve">. For more information, visit </w:t>
      </w:r>
      <w:hyperlink r:id="rId40" w:history="1">
        <w:r w:rsidRPr="00357456">
          <w:rPr>
            <w:rStyle w:val="Hyperlink"/>
            <w:rFonts w:asciiTheme="minorHAnsi" w:eastAsia="Calibri" w:hAnsiTheme="minorHAnsi"/>
            <w:sz w:val="22"/>
            <w:szCs w:val="22"/>
          </w:rPr>
          <w:t>NIH.gov</w:t>
        </w:r>
      </w:hyperlink>
    </w:p>
    <w:p w:rsidR="00A2599C" w:rsidRDefault="00A2599C" w:rsidP="00A2599C">
      <w:pPr>
        <w:pStyle w:val="PlainText"/>
        <w:pBdr>
          <w:bottom w:val="single" w:sz="6" w:space="1" w:color="auto"/>
        </w:pBdr>
        <w:rPr>
          <w:rFonts w:ascii="Calibri" w:hAnsi="Calibri" w:cs="Times New Roman"/>
          <w:sz w:val="20"/>
          <w:szCs w:val="20"/>
        </w:rPr>
      </w:pPr>
    </w:p>
    <w:p w:rsidR="00A2599C" w:rsidRDefault="00A2599C" w:rsidP="00A2599C">
      <w:pPr>
        <w:pStyle w:val="PlainText"/>
        <w:rPr>
          <w:rFonts w:ascii="Calibri" w:hAnsi="Calibri"/>
          <w:b/>
          <w:sz w:val="20"/>
          <w:szCs w:val="20"/>
          <w:u w:val="single"/>
        </w:rPr>
      </w:pPr>
    </w:p>
    <w:p w:rsidR="00A2599C" w:rsidRDefault="00A2599C" w:rsidP="00A2599C">
      <w:pPr>
        <w:pStyle w:val="PlainText"/>
        <w:rPr>
          <w:rFonts w:ascii="Calibri" w:hAnsi="Calibri"/>
          <w:b/>
          <w:sz w:val="28"/>
          <w:szCs w:val="28"/>
          <w:u w:val="single"/>
        </w:rPr>
      </w:pPr>
      <w:bookmarkStart w:id="8" w:name="wom"/>
      <w:r>
        <w:rPr>
          <w:rFonts w:ascii="Calibri" w:hAnsi="Calibri"/>
          <w:b/>
          <w:sz w:val="28"/>
          <w:szCs w:val="28"/>
          <w:u w:val="single"/>
        </w:rPr>
        <w:t xml:space="preserve">Women and Minorities </w:t>
      </w:r>
    </w:p>
    <w:bookmarkEnd w:id="8"/>
    <w:p w:rsidR="00A2599C" w:rsidRDefault="00A2599C" w:rsidP="00A2599C">
      <w:pPr>
        <w:pStyle w:val="PlainText"/>
        <w:pBdr>
          <w:bottom w:val="single" w:sz="6" w:space="1" w:color="auto"/>
        </w:pBdr>
        <w:rPr>
          <w:rFonts w:asciiTheme="minorHAnsi" w:hAnsiTheme="minorHAnsi"/>
        </w:rPr>
      </w:pPr>
    </w:p>
    <w:p w:rsidR="00740E74" w:rsidRPr="004E477A" w:rsidRDefault="00740E74" w:rsidP="00A2599C">
      <w:pPr>
        <w:pStyle w:val="PlainText"/>
        <w:pBdr>
          <w:bottom w:val="single" w:sz="6" w:space="1" w:color="auto"/>
        </w:pBdr>
        <w:rPr>
          <w:rFonts w:asciiTheme="minorHAnsi" w:hAnsiTheme="minorHAnsi"/>
          <w:sz w:val="22"/>
          <w:szCs w:val="22"/>
        </w:rPr>
      </w:pPr>
      <w:r w:rsidRPr="004E477A">
        <w:rPr>
          <w:rFonts w:asciiTheme="minorHAnsi" w:hAnsiTheme="minorHAnsi"/>
          <w:b/>
          <w:sz w:val="22"/>
          <w:szCs w:val="22"/>
        </w:rPr>
        <w:t>ADVANCE: Increasing the Participation and Advancement of Women in Academic Science and Engineering Careers; National Science Foundation (NSF); Multiple Directorates:</w:t>
      </w:r>
      <w:r w:rsidRPr="004E477A">
        <w:rPr>
          <w:rFonts w:asciiTheme="minorHAnsi" w:hAnsiTheme="minorHAnsi"/>
          <w:sz w:val="22"/>
          <w:szCs w:val="22"/>
        </w:rPr>
        <w:t xml:space="preserve"> seeks proposals (1) to develop systemic approaches to increase the representation and advancement of women in academic STEM careers; (2) to develop innovative and sustainable ways to promote gender equity in the STEM academic workforce; and (3) to contribute to the development of a more diverse science and engineering workforce. Deadlines for the required letter of intent and proposal submission vary by area of submission. For more information, visit </w:t>
      </w:r>
      <w:hyperlink r:id="rId41" w:history="1">
        <w:r w:rsidRPr="004E477A">
          <w:rPr>
            <w:rStyle w:val="Hyperlink"/>
            <w:rFonts w:asciiTheme="minorHAnsi" w:hAnsiTheme="minorHAnsi"/>
            <w:sz w:val="22"/>
            <w:szCs w:val="22"/>
          </w:rPr>
          <w:t>Solicitation</w:t>
        </w:r>
      </w:hyperlink>
      <w:r w:rsidRPr="004E477A">
        <w:rPr>
          <w:rFonts w:asciiTheme="minorHAnsi" w:hAnsiTheme="minorHAnsi"/>
          <w:sz w:val="22"/>
          <w:szCs w:val="22"/>
        </w:rPr>
        <w:t xml:space="preserve">, </w:t>
      </w:r>
      <w:hyperlink r:id="rId42" w:history="1">
        <w:r w:rsidRPr="004E477A">
          <w:rPr>
            <w:rStyle w:val="Hyperlink"/>
            <w:rFonts w:asciiTheme="minorHAnsi" w:hAnsiTheme="minorHAnsi"/>
            <w:sz w:val="22"/>
            <w:szCs w:val="22"/>
          </w:rPr>
          <w:t>Grants.gov</w:t>
        </w:r>
      </w:hyperlink>
    </w:p>
    <w:p w:rsidR="00740E74" w:rsidRDefault="00740E74" w:rsidP="00A2599C">
      <w:pPr>
        <w:pStyle w:val="PlainText"/>
        <w:pBdr>
          <w:bottom w:val="single" w:sz="6" w:space="1" w:color="auto"/>
        </w:pBdr>
        <w:rPr>
          <w:rFonts w:asciiTheme="minorHAnsi" w:hAnsiTheme="minorHAnsi"/>
        </w:rPr>
      </w:pPr>
    </w:p>
    <w:p w:rsidR="00A2599C" w:rsidRDefault="00A2599C" w:rsidP="00A2599C">
      <w:pPr>
        <w:pStyle w:val="PlainText"/>
        <w:rPr>
          <w:rFonts w:asciiTheme="minorHAnsi" w:hAnsiTheme="minorHAnsi"/>
        </w:rPr>
      </w:pPr>
    </w:p>
    <w:p w:rsidR="00A2599C" w:rsidRDefault="00A2599C"/>
    <w:sectPr w:rsidR="00A2599C" w:rsidSect="00D94779">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F"/>
    <w:rsid w:val="0000050F"/>
    <w:rsid w:val="000272FA"/>
    <w:rsid w:val="00027A62"/>
    <w:rsid w:val="00043D76"/>
    <w:rsid w:val="00045B0A"/>
    <w:rsid w:val="00047F21"/>
    <w:rsid w:val="00057389"/>
    <w:rsid w:val="00086A5A"/>
    <w:rsid w:val="00090B19"/>
    <w:rsid w:val="000A16D5"/>
    <w:rsid w:val="000B681D"/>
    <w:rsid w:val="000C332E"/>
    <w:rsid w:val="000E4D89"/>
    <w:rsid w:val="000F6DA2"/>
    <w:rsid w:val="00106B43"/>
    <w:rsid w:val="00106EE1"/>
    <w:rsid w:val="0012574C"/>
    <w:rsid w:val="00131CD8"/>
    <w:rsid w:val="00153B18"/>
    <w:rsid w:val="001755A8"/>
    <w:rsid w:val="001D73FB"/>
    <w:rsid w:val="001E276B"/>
    <w:rsid w:val="00201C05"/>
    <w:rsid w:val="0022569E"/>
    <w:rsid w:val="002719E0"/>
    <w:rsid w:val="00272841"/>
    <w:rsid w:val="00275062"/>
    <w:rsid w:val="002921F2"/>
    <w:rsid w:val="002B2297"/>
    <w:rsid w:val="002B5168"/>
    <w:rsid w:val="002C5411"/>
    <w:rsid w:val="002D643B"/>
    <w:rsid w:val="002F5AF8"/>
    <w:rsid w:val="0030346D"/>
    <w:rsid w:val="00325C19"/>
    <w:rsid w:val="0033771D"/>
    <w:rsid w:val="00343C66"/>
    <w:rsid w:val="00347E61"/>
    <w:rsid w:val="00357456"/>
    <w:rsid w:val="00380420"/>
    <w:rsid w:val="0038137B"/>
    <w:rsid w:val="00382928"/>
    <w:rsid w:val="00396D3F"/>
    <w:rsid w:val="003A3C17"/>
    <w:rsid w:val="003B3710"/>
    <w:rsid w:val="003C17D4"/>
    <w:rsid w:val="003C743F"/>
    <w:rsid w:val="003C749C"/>
    <w:rsid w:val="003D6E5B"/>
    <w:rsid w:val="00457228"/>
    <w:rsid w:val="00473D16"/>
    <w:rsid w:val="00493CE1"/>
    <w:rsid w:val="004E477A"/>
    <w:rsid w:val="004F20C2"/>
    <w:rsid w:val="005017B9"/>
    <w:rsid w:val="00516E9A"/>
    <w:rsid w:val="005206A0"/>
    <w:rsid w:val="0053075E"/>
    <w:rsid w:val="00537268"/>
    <w:rsid w:val="005412AE"/>
    <w:rsid w:val="0054634C"/>
    <w:rsid w:val="005634B4"/>
    <w:rsid w:val="00581BA4"/>
    <w:rsid w:val="005A0547"/>
    <w:rsid w:val="005D2946"/>
    <w:rsid w:val="00624328"/>
    <w:rsid w:val="0063276D"/>
    <w:rsid w:val="0063723B"/>
    <w:rsid w:val="00653B41"/>
    <w:rsid w:val="0065438A"/>
    <w:rsid w:val="00665154"/>
    <w:rsid w:val="00665D41"/>
    <w:rsid w:val="00673028"/>
    <w:rsid w:val="00684907"/>
    <w:rsid w:val="00686B2F"/>
    <w:rsid w:val="006925FF"/>
    <w:rsid w:val="00696118"/>
    <w:rsid w:val="006B3314"/>
    <w:rsid w:val="006C597A"/>
    <w:rsid w:val="006D5973"/>
    <w:rsid w:val="007074FE"/>
    <w:rsid w:val="00722FF3"/>
    <w:rsid w:val="00727749"/>
    <w:rsid w:val="00733ABB"/>
    <w:rsid w:val="00740E74"/>
    <w:rsid w:val="00753C26"/>
    <w:rsid w:val="00764124"/>
    <w:rsid w:val="0077287C"/>
    <w:rsid w:val="00782340"/>
    <w:rsid w:val="00783EC6"/>
    <w:rsid w:val="00784959"/>
    <w:rsid w:val="007928BD"/>
    <w:rsid w:val="007943DF"/>
    <w:rsid w:val="007C3044"/>
    <w:rsid w:val="007C6C38"/>
    <w:rsid w:val="007F1760"/>
    <w:rsid w:val="007F2795"/>
    <w:rsid w:val="007F6512"/>
    <w:rsid w:val="00817F49"/>
    <w:rsid w:val="00835B36"/>
    <w:rsid w:val="008457C0"/>
    <w:rsid w:val="00866B08"/>
    <w:rsid w:val="008706D1"/>
    <w:rsid w:val="0087225B"/>
    <w:rsid w:val="00876AA8"/>
    <w:rsid w:val="00885AEE"/>
    <w:rsid w:val="008A0830"/>
    <w:rsid w:val="008D49F2"/>
    <w:rsid w:val="00901C3B"/>
    <w:rsid w:val="00904E20"/>
    <w:rsid w:val="00904F5E"/>
    <w:rsid w:val="00923A02"/>
    <w:rsid w:val="00934DA4"/>
    <w:rsid w:val="00936845"/>
    <w:rsid w:val="00963503"/>
    <w:rsid w:val="00965089"/>
    <w:rsid w:val="009753E2"/>
    <w:rsid w:val="00975F35"/>
    <w:rsid w:val="00982B60"/>
    <w:rsid w:val="009A3BB4"/>
    <w:rsid w:val="009A7086"/>
    <w:rsid w:val="009E65B2"/>
    <w:rsid w:val="009F0B2B"/>
    <w:rsid w:val="00A12069"/>
    <w:rsid w:val="00A2599C"/>
    <w:rsid w:val="00A40307"/>
    <w:rsid w:val="00A40614"/>
    <w:rsid w:val="00A741D7"/>
    <w:rsid w:val="00A83CD6"/>
    <w:rsid w:val="00A86266"/>
    <w:rsid w:val="00A95FC3"/>
    <w:rsid w:val="00AB142C"/>
    <w:rsid w:val="00AC0EB6"/>
    <w:rsid w:val="00AC3DEF"/>
    <w:rsid w:val="00AF1DD6"/>
    <w:rsid w:val="00B038C1"/>
    <w:rsid w:val="00B12294"/>
    <w:rsid w:val="00B27287"/>
    <w:rsid w:val="00B33183"/>
    <w:rsid w:val="00B47212"/>
    <w:rsid w:val="00B92311"/>
    <w:rsid w:val="00B94599"/>
    <w:rsid w:val="00BA2E39"/>
    <w:rsid w:val="00BA6317"/>
    <w:rsid w:val="00BF231E"/>
    <w:rsid w:val="00C00FC2"/>
    <w:rsid w:val="00C104DE"/>
    <w:rsid w:val="00C14E48"/>
    <w:rsid w:val="00C22092"/>
    <w:rsid w:val="00C30CF1"/>
    <w:rsid w:val="00C34C35"/>
    <w:rsid w:val="00C35ADD"/>
    <w:rsid w:val="00C4184E"/>
    <w:rsid w:val="00C86CBC"/>
    <w:rsid w:val="00CB24F9"/>
    <w:rsid w:val="00CB40CA"/>
    <w:rsid w:val="00D006F3"/>
    <w:rsid w:val="00D035EF"/>
    <w:rsid w:val="00D064FA"/>
    <w:rsid w:val="00D13DDB"/>
    <w:rsid w:val="00D41D25"/>
    <w:rsid w:val="00D42022"/>
    <w:rsid w:val="00D61AEC"/>
    <w:rsid w:val="00D70414"/>
    <w:rsid w:val="00D80A39"/>
    <w:rsid w:val="00D94779"/>
    <w:rsid w:val="00DA0463"/>
    <w:rsid w:val="00DA53CC"/>
    <w:rsid w:val="00DA5EBF"/>
    <w:rsid w:val="00DB754D"/>
    <w:rsid w:val="00DE5A93"/>
    <w:rsid w:val="00DF22F2"/>
    <w:rsid w:val="00DF4082"/>
    <w:rsid w:val="00E07619"/>
    <w:rsid w:val="00E1188E"/>
    <w:rsid w:val="00E127B9"/>
    <w:rsid w:val="00E37CC4"/>
    <w:rsid w:val="00E46C84"/>
    <w:rsid w:val="00E5503D"/>
    <w:rsid w:val="00EC2EA7"/>
    <w:rsid w:val="00ED4C54"/>
    <w:rsid w:val="00EF053B"/>
    <w:rsid w:val="00EF3959"/>
    <w:rsid w:val="00F0058C"/>
    <w:rsid w:val="00F62A99"/>
    <w:rsid w:val="00F710D2"/>
    <w:rsid w:val="00F815D4"/>
    <w:rsid w:val="00F8688B"/>
    <w:rsid w:val="00FA63BC"/>
    <w:rsid w:val="00FB191E"/>
    <w:rsid w:val="00FB2527"/>
    <w:rsid w:val="00FD7ED6"/>
    <w:rsid w:val="00FE1670"/>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paragraph" w:styleId="Heading3">
    <w:name w:val="heading 3"/>
    <w:basedOn w:val="Normal"/>
    <w:link w:val="Heading3Char"/>
    <w:uiPriority w:val="9"/>
    <w:qFormat/>
    <w:rsid w:val="00B92311"/>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semiHidden/>
    <w:unhideWhenUsed/>
    <w:rsid w:val="00A2599C"/>
    <w:rPr>
      <w:rFonts w:ascii="Consolas" w:hAnsi="Consolas" w:cs="Arial"/>
      <w:sz w:val="21"/>
      <w:szCs w:val="21"/>
    </w:rPr>
  </w:style>
  <w:style w:type="character" w:customStyle="1" w:styleId="PlainTextChar">
    <w:name w:val="Plain Text Char"/>
    <w:basedOn w:val="DefaultParagraphFont"/>
    <w:link w:val="PlainText"/>
    <w:uiPriority w:val="99"/>
    <w:semiHidden/>
    <w:rsid w:val="00A2599C"/>
    <w:rPr>
      <w:rFonts w:ascii="Consolas" w:eastAsia="Calibri" w:hAnsi="Consolas" w:cs="Arial"/>
      <w:sz w:val="21"/>
      <w:szCs w:val="21"/>
    </w:rPr>
  </w:style>
  <w:style w:type="character" w:customStyle="1" w:styleId="Heading3Char">
    <w:name w:val="Heading 3 Char"/>
    <w:basedOn w:val="DefaultParagraphFont"/>
    <w:link w:val="Heading3"/>
    <w:uiPriority w:val="9"/>
    <w:rsid w:val="00B92311"/>
    <w:rPr>
      <w:rFonts w:ascii="Times New Roman" w:eastAsia="Times New Roman" w:hAnsi="Times New Roman" w:cs="Times New Roman"/>
      <w:b/>
      <w:bCs/>
      <w:sz w:val="27"/>
      <w:szCs w:val="27"/>
    </w:rPr>
  </w:style>
  <w:style w:type="character" w:customStyle="1" w:styleId="search-custom-heading">
    <w:name w:val="search-custom-heading"/>
    <w:basedOn w:val="DefaultParagraphFont"/>
    <w:rsid w:val="00B92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paragraph" w:styleId="Heading3">
    <w:name w:val="heading 3"/>
    <w:basedOn w:val="Normal"/>
    <w:link w:val="Heading3Char"/>
    <w:uiPriority w:val="9"/>
    <w:qFormat/>
    <w:rsid w:val="00B92311"/>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semiHidden/>
    <w:unhideWhenUsed/>
    <w:rsid w:val="00A2599C"/>
    <w:rPr>
      <w:rFonts w:ascii="Consolas" w:hAnsi="Consolas" w:cs="Arial"/>
      <w:sz w:val="21"/>
      <w:szCs w:val="21"/>
    </w:rPr>
  </w:style>
  <w:style w:type="character" w:customStyle="1" w:styleId="PlainTextChar">
    <w:name w:val="Plain Text Char"/>
    <w:basedOn w:val="DefaultParagraphFont"/>
    <w:link w:val="PlainText"/>
    <w:uiPriority w:val="99"/>
    <w:semiHidden/>
    <w:rsid w:val="00A2599C"/>
    <w:rPr>
      <w:rFonts w:ascii="Consolas" w:eastAsia="Calibri" w:hAnsi="Consolas" w:cs="Arial"/>
      <w:sz w:val="21"/>
      <w:szCs w:val="21"/>
    </w:rPr>
  </w:style>
  <w:style w:type="character" w:customStyle="1" w:styleId="Heading3Char">
    <w:name w:val="Heading 3 Char"/>
    <w:basedOn w:val="DefaultParagraphFont"/>
    <w:link w:val="Heading3"/>
    <w:uiPriority w:val="9"/>
    <w:rsid w:val="00B92311"/>
    <w:rPr>
      <w:rFonts w:ascii="Times New Roman" w:eastAsia="Times New Roman" w:hAnsi="Times New Roman" w:cs="Times New Roman"/>
      <w:b/>
      <w:bCs/>
      <w:sz w:val="27"/>
      <w:szCs w:val="27"/>
    </w:rPr>
  </w:style>
  <w:style w:type="character" w:customStyle="1" w:styleId="search-custom-heading">
    <w:name w:val="search-custom-heading"/>
    <w:basedOn w:val="DefaultParagraphFont"/>
    <w:rsid w:val="00B9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654">
      <w:bodyDiv w:val="1"/>
      <w:marLeft w:val="0"/>
      <w:marRight w:val="0"/>
      <w:marTop w:val="0"/>
      <w:marBottom w:val="0"/>
      <w:divBdr>
        <w:top w:val="none" w:sz="0" w:space="0" w:color="auto"/>
        <w:left w:val="none" w:sz="0" w:space="0" w:color="auto"/>
        <w:bottom w:val="none" w:sz="0" w:space="0" w:color="auto"/>
        <w:right w:val="none" w:sz="0" w:space="0" w:color="auto"/>
      </w:divBdr>
    </w:div>
    <w:div w:id="26178132">
      <w:bodyDiv w:val="1"/>
      <w:marLeft w:val="0"/>
      <w:marRight w:val="0"/>
      <w:marTop w:val="0"/>
      <w:marBottom w:val="0"/>
      <w:divBdr>
        <w:top w:val="none" w:sz="0" w:space="0" w:color="auto"/>
        <w:left w:val="none" w:sz="0" w:space="0" w:color="auto"/>
        <w:bottom w:val="none" w:sz="0" w:space="0" w:color="auto"/>
        <w:right w:val="none" w:sz="0" w:space="0" w:color="auto"/>
      </w:divBdr>
    </w:div>
    <w:div w:id="620066465">
      <w:bodyDiv w:val="1"/>
      <w:marLeft w:val="0"/>
      <w:marRight w:val="0"/>
      <w:marTop w:val="0"/>
      <w:marBottom w:val="0"/>
      <w:divBdr>
        <w:top w:val="none" w:sz="0" w:space="0" w:color="auto"/>
        <w:left w:val="none" w:sz="0" w:space="0" w:color="auto"/>
        <w:bottom w:val="none" w:sz="0" w:space="0" w:color="auto"/>
        <w:right w:val="none" w:sz="0" w:space="0" w:color="auto"/>
      </w:divBdr>
    </w:div>
    <w:div w:id="852301566">
      <w:bodyDiv w:val="1"/>
      <w:marLeft w:val="0"/>
      <w:marRight w:val="0"/>
      <w:marTop w:val="0"/>
      <w:marBottom w:val="0"/>
      <w:divBdr>
        <w:top w:val="none" w:sz="0" w:space="0" w:color="auto"/>
        <w:left w:val="none" w:sz="0" w:space="0" w:color="auto"/>
        <w:bottom w:val="none" w:sz="0" w:space="0" w:color="auto"/>
        <w:right w:val="none" w:sz="0" w:space="0" w:color="auto"/>
      </w:divBdr>
    </w:div>
    <w:div w:id="1028020554">
      <w:bodyDiv w:val="1"/>
      <w:marLeft w:val="0"/>
      <w:marRight w:val="0"/>
      <w:marTop w:val="0"/>
      <w:marBottom w:val="0"/>
      <w:divBdr>
        <w:top w:val="none" w:sz="0" w:space="0" w:color="auto"/>
        <w:left w:val="none" w:sz="0" w:space="0" w:color="auto"/>
        <w:bottom w:val="none" w:sz="0" w:space="0" w:color="auto"/>
        <w:right w:val="none" w:sz="0" w:space="0" w:color="auto"/>
      </w:divBdr>
    </w:div>
    <w:div w:id="1126192928">
      <w:bodyDiv w:val="1"/>
      <w:marLeft w:val="0"/>
      <w:marRight w:val="0"/>
      <w:marTop w:val="0"/>
      <w:marBottom w:val="0"/>
      <w:divBdr>
        <w:top w:val="none" w:sz="0" w:space="0" w:color="auto"/>
        <w:left w:val="none" w:sz="0" w:space="0" w:color="auto"/>
        <w:bottom w:val="none" w:sz="0" w:space="0" w:color="auto"/>
        <w:right w:val="none" w:sz="0" w:space="0" w:color="auto"/>
      </w:divBdr>
    </w:div>
    <w:div w:id="1689790481">
      <w:bodyDiv w:val="1"/>
      <w:marLeft w:val="0"/>
      <w:marRight w:val="0"/>
      <w:marTop w:val="0"/>
      <w:marBottom w:val="0"/>
      <w:divBdr>
        <w:top w:val="none" w:sz="0" w:space="0" w:color="auto"/>
        <w:left w:val="none" w:sz="0" w:space="0" w:color="auto"/>
        <w:bottom w:val="none" w:sz="0" w:space="0" w:color="auto"/>
        <w:right w:val="none" w:sz="0" w:space="0" w:color="auto"/>
      </w:divBdr>
    </w:div>
    <w:div w:id="19369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unj.edu/osp" TargetMode="External"/><Relationship Id="rId13" Type="http://schemas.openxmlformats.org/officeDocument/2006/relationships/hyperlink" Target="http://www.aascu.org/grc/" TargetMode="External"/><Relationship Id="rId18" Type="http://schemas.openxmlformats.org/officeDocument/2006/relationships/hyperlink" Target="http://www.wpunj.edu/osp/preparing-proposals.dot" TargetMode="External"/><Relationship Id="rId26" Type="http://schemas.openxmlformats.org/officeDocument/2006/relationships/hyperlink" Target="http://grants.nih.gov/grants/guide/rfa-files/RFA-MH-15-600.html" TargetMode="External"/><Relationship Id="rId39" Type="http://schemas.openxmlformats.org/officeDocument/2006/relationships/hyperlink" Target="http://www.acf.hhs.gov/grants/open/foa/files/HHS-2014-ACF-OPRE-PD-0802_1.pdf" TargetMode="External"/><Relationship Id="rId3" Type="http://schemas.microsoft.com/office/2007/relationships/stylesWithEffects" Target="stylesWithEffects.xml"/><Relationship Id="rId21" Type="http://schemas.openxmlformats.org/officeDocument/2006/relationships/hyperlink" Target="http://arts.gov/grants-organizations/art-works" TargetMode="External"/><Relationship Id="rId34" Type="http://schemas.openxmlformats.org/officeDocument/2006/relationships/hyperlink" Target="http://www.mmsend65.com/link.cfm?r=1272232034&amp;sid=42011571&amp;m=4740444&amp;u=AASCU&amp;j=19234172&amp;s=http://www.nsf.gov/publications/pub_summ.jsp?ods_key=nsf14574" TargetMode="External"/><Relationship Id="rId42" Type="http://schemas.openxmlformats.org/officeDocument/2006/relationships/hyperlink" Target="http://www.mmsend65.com/link.cfm?r=1272232034&amp;sid=42011568&amp;m=4740444&amp;u=AASCU&amp;j=19234172&amp;s=http://www.grants.gov/view-opportunity.html?oppId=256569" TargetMode="External"/><Relationship Id="rId7" Type="http://schemas.openxmlformats.org/officeDocument/2006/relationships/hyperlink" Target="mailto:grants@wpunj.edu" TargetMode="External"/><Relationship Id="rId12" Type="http://schemas.openxmlformats.org/officeDocument/2006/relationships/hyperlink" Target="http://www.grants.gov/web/grants/home.html" TargetMode="External"/><Relationship Id="rId17" Type="http://schemas.openxmlformats.org/officeDocument/2006/relationships/hyperlink" Target="http://www.wpunj.edu/osp/irb/index.dot" TargetMode="External"/><Relationship Id="rId25" Type="http://schemas.openxmlformats.org/officeDocument/2006/relationships/hyperlink" Target="http://grants.nih.gov/grants/guide/pa-files/PAR-13-333.html" TargetMode="External"/><Relationship Id="rId33" Type="http://schemas.openxmlformats.org/officeDocument/2006/relationships/hyperlink" Target="http://www.onr.navy.mil/~/media/Files/Funding-Announcements/BAA/2014/14-002-FOA-STEM.ashx" TargetMode="External"/><Relationship Id="rId38" Type="http://schemas.openxmlformats.org/officeDocument/2006/relationships/hyperlink" Target="http://www.grants.gov/web/grants/view-opportunity.html?oppId=255368" TargetMode="External"/><Relationship Id="rId2" Type="http://schemas.openxmlformats.org/officeDocument/2006/relationships/styles" Target="styles.xml"/><Relationship Id="rId16" Type="http://schemas.openxmlformats.org/officeDocument/2006/relationships/hyperlink" Target="http://www.wpunj.edu/osp/workshops.dot" TargetMode="External"/><Relationship Id="rId20" Type="http://schemas.openxmlformats.org/officeDocument/2006/relationships/hyperlink" Target="http://www.wpunj.edu/osp/recent-awards.dot" TargetMode="External"/><Relationship Id="rId29" Type="http://schemas.openxmlformats.org/officeDocument/2006/relationships/hyperlink" Target="http://www.neh.gov/grants/education/enduring-questions" TargetMode="External"/><Relationship Id="rId41" Type="http://schemas.openxmlformats.org/officeDocument/2006/relationships/hyperlink" Target="http://www.mmsend65.com/link.cfm?r=1272232034&amp;sid=42011567&amp;m=4740444&amp;u=AASCU&amp;j=19234172&amp;s=http://www.nsf.gov/pubs/2014/nsf14573/nsf14573.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ascu.org/grc/gs/" TargetMode="External"/><Relationship Id="rId24" Type="http://schemas.openxmlformats.org/officeDocument/2006/relationships/hyperlink" Target="http://www.mmsend65.com/link.cfm?r=1272232034&amp;sid=42011545&amp;m=4740444&amp;u=AASCU&amp;j=19234172&amp;s=http://www.grants.gov/view-opportunity.html?oppId=256728" TargetMode="External"/><Relationship Id="rId32" Type="http://schemas.openxmlformats.org/officeDocument/2006/relationships/hyperlink" Target="http://www.nsf.gov/div/index.jsp?org=CHE" TargetMode="External"/><Relationship Id="rId37" Type="http://schemas.openxmlformats.org/officeDocument/2006/relationships/hyperlink" Target="http://www.nsf.gov/funding/pgm_summ.jsp?pims_id=5551" TargetMode="External"/><Relationship Id="rId40" Type="http://schemas.openxmlformats.org/officeDocument/2006/relationships/hyperlink" Target="http://grants.nih.gov/grants/guide/pa-files/PAR-13-333.html" TargetMode="External"/><Relationship Id="rId5" Type="http://schemas.openxmlformats.org/officeDocument/2006/relationships/webSettings" Target="webSettings.xml"/><Relationship Id="rId15" Type="http://schemas.openxmlformats.org/officeDocument/2006/relationships/hyperlink" Target="http://www.wpunj.edu/osp/dui/index.dot" TargetMode="External"/><Relationship Id="rId23" Type="http://schemas.openxmlformats.org/officeDocument/2006/relationships/hyperlink" Target="https://www.federalregister.gov/articles/2014/06/04/2014-12980/applications-for-new-awards-gaining-early-awareness-and-readiness-for-undergraduate-programs" TargetMode="External"/><Relationship Id="rId28" Type="http://schemas.openxmlformats.org/officeDocument/2006/relationships/hyperlink" Target="http://njch.org/grants-mini/" TargetMode="External"/><Relationship Id="rId36" Type="http://schemas.openxmlformats.org/officeDocument/2006/relationships/hyperlink" Target="http://pivot.cos.com/funding_opps/32523" TargetMode="External"/><Relationship Id="rId10" Type="http://schemas.openxmlformats.org/officeDocument/2006/relationships/hyperlink" Target="http://pivot.cos.com/funding_main" TargetMode="External"/><Relationship Id="rId19" Type="http://schemas.openxmlformats.org/officeDocument/2006/relationships/hyperlink" Target="http://www.wpunj.edu/osp/narratives-and-budgets.dot" TargetMode="External"/><Relationship Id="rId31" Type="http://schemas.openxmlformats.org/officeDocument/2006/relationships/hyperlink" Target="http://www.mmsend65.com/link.cfm?r=1272232034&amp;sid=42011568&amp;m=4740444&amp;u=AASCU&amp;j=19234172&amp;s=http://www.grants.gov/view-opportunity.html?oppId=25656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wpunj.edu/osp/funding-opportunities/index.dot" TargetMode="External"/><Relationship Id="rId22" Type="http://schemas.openxmlformats.org/officeDocument/2006/relationships/hyperlink" Target="http://www.grants.gov/view-opportunity.html?oppId=257409" TargetMode="External"/><Relationship Id="rId27" Type="http://schemas.openxmlformats.org/officeDocument/2006/relationships/hyperlink" Target="http://www.grants.gov/view-opportunity.html?oppId=257435" TargetMode="External"/><Relationship Id="rId30" Type="http://schemas.openxmlformats.org/officeDocument/2006/relationships/hyperlink" Target="http://www.mmsend65.com/link.cfm?r=1272232034&amp;sid=42011567&amp;m=4740444&amp;u=AASCU&amp;j=19234172&amp;s=http://www.nsf.gov/pubs/2014/nsf14573/nsf14573.htm" TargetMode="External"/><Relationship Id="rId35" Type="http://schemas.openxmlformats.org/officeDocument/2006/relationships/hyperlink" Target="http://www.mmsend65.com/link.cfm?r=1272232034&amp;sid=42011572&amp;m=4740444&amp;u=AASCU&amp;j=19234172&amp;s=http://www.grants.gov/view-opportunity.html?oppId=25675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DC5B-061A-4677-A129-FEBB2E0C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WPUNJ</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66</cp:revision>
  <dcterms:created xsi:type="dcterms:W3CDTF">2014-06-09T14:30:00Z</dcterms:created>
  <dcterms:modified xsi:type="dcterms:W3CDTF">2014-06-16T19:40:00Z</dcterms:modified>
</cp:coreProperties>
</file>