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81" w:rsidRPr="00740927" w:rsidRDefault="00C401C2" w:rsidP="00EA6481">
      <w:pPr>
        <w:rPr>
          <w:rFonts w:asciiTheme="minorHAnsi" w:hAnsiTheme="minorHAnsi"/>
        </w:rPr>
      </w:pPr>
      <w:r w:rsidRPr="00C401C2">
        <w:rPr>
          <w:rFonts w:ascii="Times New Roman" w:hAnsi="Times New Roman"/>
          <w:sz w:val="24"/>
          <w:szCs w:val="24"/>
        </w:rPr>
        <w:pict>
          <v:shapetype id="_x0000_t202" coordsize="21600,21600" o:spt="202" path="m,l,21600r21600,l21600,xe">
            <v:stroke joinstyle="miter"/>
            <v:path gradientshapeok="t" o:connecttype="rect"/>
          </v:shapetype>
          <v:shape id="_x0000_s1030" type="#_x0000_t202" style="position:absolute;margin-left:-29pt;margin-top:-37.35pt;width:529.5pt;height:93.05pt;z-index:251664384" fillcolor="#fbd4b4 [1305]">
            <v:fill color2="#9bbb59 [3206]" rotate="t" angle="-90" focus="50%" type="gradient"/>
            <v:textbox style="mso-next-textbox:#_x0000_s1030">
              <w:txbxContent>
                <w:tbl>
                  <w:tblPr>
                    <w:tblW w:w="0" w:type="auto"/>
                    <w:tblCellMar>
                      <w:left w:w="0" w:type="dxa"/>
                      <w:right w:w="0" w:type="dxa"/>
                    </w:tblCellMar>
                    <w:tblLook w:val="04A0"/>
                  </w:tblPr>
                  <w:tblGrid>
                    <w:gridCol w:w="3434"/>
                    <w:gridCol w:w="3434"/>
                    <w:gridCol w:w="3434"/>
                  </w:tblGrid>
                  <w:tr w:rsidR="00932741">
                    <w:tc>
                      <w:tcPr>
                        <w:tcW w:w="3434" w:type="dxa"/>
                        <w:tcMar>
                          <w:top w:w="0" w:type="dxa"/>
                          <w:left w:w="108" w:type="dxa"/>
                          <w:bottom w:w="0" w:type="dxa"/>
                          <w:right w:w="108" w:type="dxa"/>
                        </w:tcMar>
                        <w:hideMark/>
                      </w:tcPr>
                      <w:p w:rsidR="00932741" w:rsidRDefault="00932741">
                        <w:pPr>
                          <w:jc w:val="center"/>
                          <w:rPr>
                            <w:rFonts w:eastAsiaTheme="minorHAnsi"/>
                            <w:b/>
                            <w:bCs/>
                            <w:i/>
                            <w:iCs/>
                            <w:color w:val="3378CB"/>
                          </w:rPr>
                        </w:pPr>
                        <w:r>
                          <w:rPr>
                            <w:noProof/>
                            <w:sz w:val="20"/>
                            <w:szCs w:val="20"/>
                          </w:rPr>
                          <w:drawing>
                            <wp:inline distT="0" distB="0" distL="0" distR="0">
                              <wp:extent cx="1587500" cy="1009015"/>
                              <wp:effectExtent l="0" t="0" r="0" b="0"/>
                              <wp:docPr id="1"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logo_wpu.png"/>
                                      <pic:cNvPicPr>
                                        <a:picLocks noChangeAspect="1" noChangeArrowheads="1"/>
                                      </pic:cNvPicPr>
                                    </pic:nvPicPr>
                                    <pic:blipFill>
                                      <a:blip r:embed="rId4"/>
                                      <a:srcRect/>
                                      <a:stretch>
                                        <a:fillRect/>
                                      </a:stretch>
                                    </pic:blipFill>
                                    <pic:spPr bwMode="auto">
                                      <a:xfrm>
                                        <a:off x="0" y="0"/>
                                        <a:ext cx="1587500" cy="1009015"/>
                                      </a:xfrm>
                                      <a:prstGeom prst="rect">
                                        <a:avLst/>
                                      </a:prstGeom>
                                      <a:noFill/>
                                      <a:ln w="9525">
                                        <a:noFill/>
                                        <a:miter lim="800000"/>
                                        <a:headEnd/>
                                        <a:tailEnd/>
                                      </a:ln>
                                    </pic:spPr>
                                  </pic:pic>
                                </a:graphicData>
                              </a:graphic>
                            </wp:inline>
                          </w:drawing>
                        </w:r>
                      </w:p>
                    </w:tc>
                    <w:tc>
                      <w:tcPr>
                        <w:tcW w:w="3434" w:type="dxa"/>
                        <w:tcMar>
                          <w:top w:w="0" w:type="dxa"/>
                          <w:left w:w="108" w:type="dxa"/>
                          <w:bottom w:w="0" w:type="dxa"/>
                          <w:right w:w="108" w:type="dxa"/>
                        </w:tcMar>
                      </w:tcPr>
                      <w:p w:rsidR="00932741" w:rsidRDefault="00932741">
                        <w:pPr>
                          <w:jc w:val="center"/>
                          <w:rPr>
                            <w:rFonts w:eastAsiaTheme="minorHAnsi" w:cstheme="minorBidi"/>
                            <w:b/>
                            <w:bCs/>
                            <w:i/>
                            <w:iCs/>
                            <w:color w:val="000000"/>
                            <w:sz w:val="24"/>
                            <w:szCs w:val="24"/>
                          </w:rPr>
                        </w:pPr>
                        <w:r>
                          <w:rPr>
                            <w:b/>
                            <w:bCs/>
                            <w:i/>
                            <w:iCs/>
                            <w:color w:val="000000"/>
                            <w:sz w:val="24"/>
                            <w:szCs w:val="24"/>
                          </w:rPr>
                          <w:t>Office of Sponsored Programs</w:t>
                        </w:r>
                      </w:p>
                      <w:p w:rsidR="00932741" w:rsidRDefault="00932741">
                        <w:pPr>
                          <w:jc w:val="center"/>
                          <w:rPr>
                            <w:rFonts w:asciiTheme="minorHAnsi" w:eastAsiaTheme="minorEastAsia" w:hAnsiTheme="minorHAnsi"/>
                            <w:b/>
                            <w:bCs/>
                            <w:i/>
                            <w:iCs/>
                            <w:color w:val="000000"/>
                            <w:sz w:val="24"/>
                            <w:szCs w:val="24"/>
                          </w:rPr>
                        </w:pPr>
                        <w:r>
                          <w:rPr>
                            <w:b/>
                            <w:bCs/>
                            <w:i/>
                            <w:iCs/>
                            <w:color w:val="000000"/>
                            <w:sz w:val="24"/>
                            <w:szCs w:val="24"/>
                          </w:rPr>
                          <w:t>Raubinger Hall 309</w:t>
                        </w:r>
                      </w:p>
                      <w:p w:rsidR="00932741" w:rsidRDefault="00932741">
                        <w:pPr>
                          <w:jc w:val="center"/>
                          <w:rPr>
                            <w:b/>
                            <w:bCs/>
                            <w:i/>
                            <w:iCs/>
                            <w:color w:val="000000"/>
                            <w:sz w:val="24"/>
                            <w:szCs w:val="24"/>
                          </w:rPr>
                        </w:pPr>
                        <w:r>
                          <w:rPr>
                            <w:b/>
                            <w:bCs/>
                            <w:i/>
                            <w:iCs/>
                            <w:color w:val="000000"/>
                            <w:sz w:val="24"/>
                            <w:szCs w:val="24"/>
                          </w:rPr>
                          <w:t>973-720-2852</w:t>
                        </w:r>
                      </w:p>
                      <w:p w:rsidR="00932741" w:rsidRDefault="00932741">
                        <w:pPr>
                          <w:jc w:val="center"/>
                          <w:rPr>
                            <w:b/>
                            <w:bCs/>
                            <w:i/>
                            <w:iCs/>
                            <w:color w:val="3378CB"/>
                            <w:sz w:val="24"/>
                            <w:szCs w:val="24"/>
                          </w:rPr>
                        </w:pPr>
                        <w:hyperlink r:id="rId5" w:history="1">
                          <w:r>
                            <w:rPr>
                              <w:rStyle w:val="Hyperlink"/>
                              <w:b/>
                              <w:bCs/>
                              <w:i/>
                              <w:iCs/>
                              <w:sz w:val="24"/>
                              <w:szCs w:val="24"/>
                            </w:rPr>
                            <w:t>grants@wpunj.edu</w:t>
                          </w:r>
                        </w:hyperlink>
                      </w:p>
                      <w:p w:rsidR="00932741" w:rsidRDefault="00932741">
                        <w:pPr>
                          <w:jc w:val="center"/>
                          <w:rPr>
                            <w:b/>
                            <w:bCs/>
                            <w:i/>
                            <w:iCs/>
                            <w:color w:val="3378CB"/>
                          </w:rPr>
                        </w:pPr>
                        <w:hyperlink r:id="rId6" w:history="1">
                          <w:r>
                            <w:rPr>
                              <w:rStyle w:val="Hyperlink"/>
                              <w:b/>
                              <w:bCs/>
                              <w:sz w:val="24"/>
                              <w:szCs w:val="24"/>
                            </w:rPr>
                            <w:t>www.wpunj.edu/osp</w:t>
                          </w:r>
                        </w:hyperlink>
                        <w:r>
                          <w:rPr>
                            <w:b/>
                            <w:bCs/>
                            <w:sz w:val="24"/>
                            <w:szCs w:val="24"/>
                          </w:rPr>
                          <w:t xml:space="preserve"> </w:t>
                        </w:r>
                      </w:p>
                      <w:p w:rsidR="00932741" w:rsidRDefault="00932741">
                        <w:pPr>
                          <w:jc w:val="center"/>
                          <w:rPr>
                            <w:rFonts w:eastAsiaTheme="minorHAnsi"/>
                            <w:b/>
                            <w:bCs/>
                            <w:i/>
                            <w:iCs/>
                            <w:color w:val="3378CB"/>
                          </w:rPr>
                        </w:pPr>
                      </w:p>
                    </w:tc>
                    <w:tc>
                      <w:tcPr>
                        <w:tcW w:w="3434" w:type="dxa"/>
                        <w:tcMar>
                          <w:top w:w="0" w:type="dxa"/>
                          <w:left w:w="108" w:type="dxa"/>
                          <w:bottom w:w="0" w:type="dxa"/>
                          <w:right w:w="108" w:type="dxa"/>
                        </w:tcMar>
                        <w:hideMark/>
                      </w:tcPr>
                      <w:p w:rsidR="00932741" w:rsidRDefault="00932741">
                        <w:pPr>
                          <w:jc w:val="right"/>
                          <w:rPr>
                            <w:rFonts w:eastAsiaTheme="minorHAnsi"/>
                            <w:b/>
                            <w:bCs/>
                            <w:i/>
                            <w:iCs/>
                            <w:color w:val="3378CB"/>
                          </w:rPr>
                        </w:pPr>
                        <w:r>
                          <w:rPr>
                            <w:noProof/>
                            <w:sz w:val="20"/>
                            <w:szCs w:val="20"/>
                          </w:rPr>
                          <w:drawing>
                            <wp:inline distT="0" distB="0" distL="0" distR="0">
                              <wp:extent cx="1423670" cy="1078230"/>
                              <wp:effectExtent l="0" t="0" r="5080" b="0"/>
                              <wp:docPr id="3" name="Picture 1" descr="C:\Documents and Settings\grants\Local Settings\Temporary Internet Files\Content.IE5\4DXNNTVP\MC9002793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ants\Local Settings\Temporary Internet Files\Content.IE5\4DXNNTVP\MC900279346[1].wmf"/>
                                      <pic:cNvPicPr>
                                        <a:picLocks noChangeAspect="1" noChangeArrowheads="1"/>
                                      </pic:cNvPicPr>
                                    </pic:nvPicPr>
                                    <pic:blipFill>
                                      <a:blip r:embed="rId7"/>
                                      <a:srcRect/>
                                      <a:stretch>
                                        <a:fillRect/>
                                      </a:stretch>
                                    </pic:blipFill>
                                    <pic:spPr bwMode="auto">
                                      <a:xfrm>
                                        <a:off x="0" y="0"/>
                                        <a:ext cx="1423670" cy="1078230"/>
                                      </a:xfrm>
                                      <a:prstGeom prst="rect">
                                        <a:avLst/>
                                      </a:prstGeom>
                                      <a:noFill/>
                                      <a:ln w="9525">
                                        <a:noFill/>
                                        <a:miter lim="800000"/>
                                        <a:headEnd/>
                                        <a:tailEnd/>
                                      </a:ln>
                                    </pic:spPr>
                                  </pic:pic>
                                </a:graphicData>
                              </a:graphic>
                            </wp:inline>
                          </w:drawing>
                        </w:r>
                      </w:p>
                    </w:tc>
                  </w:tr>
                  <w:tr w:rsidR="00932741">
                    <w:tc>
                      <w:tcPr>
                        <w:tcW w:w="3434" w:type="dxa"/>
                        <w:tcMar>
                          <w:top w:w="0" w:type="dxa"/>
                          <w:left w:w="108" w:type="dxa"/>
                          <w:bottom w:w="0" w:type="dxa"/>
                          <w:right w:w="108" w:type="dxa"/>
                        </w:tcMar>
                      </w:tcPr>
                      <w:p w:rsidR="00932741" w:rsidRDefault="00932741">
                        <w:pPr>
                          <w:jc w:val="center"/>
                          <w:rPr>
                            <w:rFonts w:eastAsiaTheme="minorHAnsi"/>
                            <w:sz w:val="20"/>
                            <w:szCs w:val="20"/>
                          </w:rPr>
                        </w:pPr>
                      </w:p>
                    </w:tc>
                    <w:tc>
                      <w:tcPr>
                        <w:tcW w:w="3434" w:type="dxa"/>
                        <w:tcMar>
                          <w:top w:w="0" w:type="dxa"/>
                          <w:left w:w="108" w:type="dxa"/>
                          <w:bottom w:w="0" w:type="dxa"/>
                          <w:right w:w="108" w:type="dxa"/>
                        </w:tcMar>
                      </w:tcPr>
                      <w:p w:rsidR="00932741" w:rsidRDefault="00932741">
                        <w:pPr>
                          <w:jc w:val="center"/>
                          <w:rPr>
                            <w:rFonts w:eastAsiaTheme="minorHAnsi"/>
                            <w:b/>
                            <w:bCs/>
                            <w:i/>
                            <w:iCs/>
                            <w:color w:val="000000"/>
                            <w:sz w:val="24"/>
                            <w:szCs w:val="24"/>
                          </w:rPr>
                        </w:pPr>
                      </w:p>
                    </w:tc>
                    <w:tc>
                      <w:tcPr>
                        <w:tcW w:w="3434" w:type="dxa"/>
                        <w:tcMar>
                          <w:top w:w="0" w:type="dxa"/>
                          <w:left w:w="108" w:type="dxa"/>
                          <w:bottom w:w="0" w:type="dxa"/>
                          <w:right w:w="108" w:type="dxa"/>
                        </w:tcMar>
                      </w:tcPr>
                      <w:p w:rsidR="00932741" w:rsidRDefault="00932741">
                        <w:pPr>
                          <w:jc w:val="right"/>
                          <w:rPr>
                            <w:rFonts w:eastAsiaTheme="minorHAnsi"/>
                            <w:b/>
                            <w:bCs/>
                            <w:i/>
                            <w:iCs/>
                            <w:color w:val="3378CB"/>
                          </w:rPr>
                        </w:pPr>
                      </w:p>
                    </w:tc>
                  </w:tr>
                </w:tbl>
                <w:p w:rsidR="00932741" w:rsidRDefault="00932741" w:rsidP="001F5234">
                  <w:pPr>
                    <w:jc w:val="center"/>
                    <w:rPr>
                      <w:rFonts w:eastAsiaTheme="minorHAnsi" w:cstheme="minorBidi"/>
                      <w:b/>
                      <w:bCs/>
                      <w:i/>
                      <w:iCs/>
                      <w:color w:val="3378CB"/>
                    </w:rPr>
                  </w:pPr>
                </w:p>
              </w:txbxContent>
            </v:textbox>
          </v:shape>
        </w:pict>
      </w:r>
    </w:p>
    <w:p w:rsidR="00EA6481" w:rsidRPr="00740927" w:rsidRDefault="00EA6481" w:rsidP="00EA6481">
      <w:pPr>
        <w:rPr>
          <w:rFonts w:asciiTheme="minorHAnsi" w:hAnsiTheme="minorHAnsi"/>
        </w:rPr>
      </w:pPr>
    </w:p>
    <w:p w:rsidR="001F5234" w:rsidRDefault="001F5234" w:rsidP="00AB2A06">
      <w:pPr>
        <w:rPr>
          <w:b/>
          <w:sz w:val="28"/>
          <w:szCs w:val="28"/>
          <w:u w:val="single"/>
        </w:rPr>
      </w:pPr>
    </w:p>
    <w:p w:rsidR="001F5234" w:rsidRDefault="00C401C2" w:rsidP="00AB2A06">
      <w:pPr>
        <w:rPr>
          <w:b/>
          <w:sz w:val="28"/>
          <w:szCs w:val="28"/>
          <w:u w:val="single"/>
        </w:rPr>
      </w:pPr>
      <w:r w:rsidRPr="00C401C2">
        <w:rPr>
          <w:rFonts w:ascii="Times New Roman" w:hAnsi="Times New Roman"/>
          <w:sz w:val="24"/>
          <w:szCs w:val="24"/>
        </w:rPr>
        <w:pict>
          <v:shape id="_x0000_s1031" type="#_x0000_t202" style="position:absolute;margin-left:-28.6pt;margin-top:11.75pt;width:529.1pt;height:535.65pt;z-index:251666432">
            <v:textbox style="mso-next-textbox:#_x0000_s1031">
              <w:txbxContent>
                <w:tbl>
                  <w:tblPr>
                    <w:tblW w:w="0" w:type="auto"/>
                    <w:tblCellMar>
                      <w:left w:w="0" w:type="dxa"/>
                      <w:right w:w="0" w:type="dxa"/>
                    </w:tblCellMar>
                    <w:tblLook w:val="04A0"/>
                  </w:tblPr>
                  <w:tblGrid>
                    <w:gridCol w:w="8028"/>
                    <w:gridCol w:w="1272"/>
                    <w:gridCol w:w="1133"/>
                  </w:tblGrid>
                  <w:tr w:rsidR="00932741">
                    <w:tc>
                      <w:tcPr>
                        <w:tcW w:w="8028" w:type="dxa"/>
                        <w:tcMar>
                          <w:top w:w="0" w:type="dxa"/>
                          <w:left w:w="108" w:type="dxa"/>
                          <w:bottom w:w="0" w:type="dxa"/>
                          <w:right w:w="108" w:type="dxa"/>
                        </w:tcMar>
                      </w:tcPr>
                      <w:p w:rsidR="00932741" w:rsidRDefault="00932741">
                        <w:pPr>
                          <w:jc w:val="center"/>
                          <w:rPr>
                            <w:rFonts w:eastAsiaTheme="minorHAnsi" w:cstheme="minorBidi"/>
                          </w:rPr>
                        </w:pPr>
                        <w:hyperlink r:id="rId8" w:history="1">
                          <w:r>
                            <w:rPr>
                              <w:rStyle w:val="Hyperlink"/>
                              <w:sz w:val="36"/>
                              <w:szCs w:val="36"/>
                            </w:rPr>
                            <w:t>OSP Dates, Updates and Insights</w:t>
                          </w:r>
                        </w:hyperlink>
                      </w:p>
                      <w:p w:rsidR="00932741" w:rsidRDefault="00932741">
                        <w:pPr>
                          <w:ind w:firstLine="360"/>
                          <w:jc w:val="center"/>
                          <w:rPr>
                            <w:rFonts w:ascii="Arial" w:eastAsiaTheme="minorEastAsia" w:hAnsi="Arial" w:cs="Arial"/>
                            <w:i/>
                            <w:iCs/>
                            <w:sz w:val="72"/>
                            <w:szCs w:val="72"/>
                          </w:rPr>
                        </w:pPr>
                        <w:r>
                          <w:rPr>
                            <w:rFonts w:ascii="Arial" w:hAnsi="Arial" w:cs="Arial"/>
                            <w:i/>
                            <w:iCs/>
                            <w:sz w:val="72"/>
                            <w:szCs w:val="72"/>
                          </w:rPr>
                          <w:t>Funding Opportunities</w:t>
                        </w:r>
                      </w:p>
                      <w:p w:rsidR="00932741" w:rsidRDefault="00932741">
                        <w:pPr>
                          <w:jc w:val="center"/>
                          <w:rPr>
                            <w:rFonts w:ascii="Arial" w:hAnsi="Arial" w:cs="Arial"/>
                            <w:i/>
                            <w:iCs/>
                            <w:color w:val="76923C"/>
                            <w:sz w:val="36"/>
                            <w:szCs w:val="36"/>
                          </w:rPr>
                        </w:pPr>
                        <w:r>
                          <w:rPr>
                            <w:rFonts w:ascii="Arial" w:hAnsi="Arial" w:cs="Arial"/>
                            <w:i/>
                            <w:iCs/>
                            <w:color w:val="76923C"/>
                            <w:sz w:val="36"/>
                            <w:szCs w:val="36"/>
                          </w:rPr>
                          <w:t>November 6, 2013</w:t>
                        </w:r>
                      </w:p>
                      <w:p w:rsidR="00932741" w:rsidRDefault="00932741">
                        <w:pPr>
                          <w:rPr>
                            <w:rFonts w:eastAsiaTheme="minorHAnsi"/>
                          </w:rPr>
                        </w:pPr>
                      </w:p>
                    </w:tc>
                    <w:tc>
                      <w:tcPr>
                        <w:tcW w:w="2360" w:type="dxa"/>
                        <w:gridSpan w:val="2"/>
                        <w:tcMar>
                          <w:top w:w="0" w:type="dxa"/>
                          <w:left w:w="108" w:type="dxa"/>
                          <w:bottom w:w="0" w:type="dxa"/>
                          <w:right w:w="108" w:type="dxa"/>
                        </w:tcMar>
                      </w:tcPr>
                      <w:p w:rsidR="00932741" w:rsidRDefault="00932741">
                        <w:pPr>
                          <w:pStyle w:val="NormalWeb"/>
                          <w:shd w:val="clear" w:color="auto" w:fill="F7F8FA"/>
                          <w:jc w:val="center"/>
                          <w:rPr>
                            <w:color w:val="FF0000"/>
                          </w:rPr>
                        </w:pPr>
                        <w:r>
                          <w:rPr>
                            <w:b/>
                            <w:bCs/>
                            <w:color w:val="FF0000"/>
                          </w:rPr>
                          <w:t>Please contact the Office of Sponsored Programs when you begin working on a proposal</w:t>
                        </w:r>
                      </w:p>
                      <w:p w:rsidR="00932741" w:rsidRDefault="00932741">
                        <w:pPr>
                          <w:rPr>
                            <w:rFonts w:eastAsiaTheme="minorHAnsi"/>
                          </w:rPr>
                        </w:pPr>
                      </w:p>
                    </w:tc>
                  </w:tr>
                  <w:tr w:rsidR="00932741">
                    <w:trPr>
                      <w:trHeight w:val="528"/>
                    </w:trPr>
                    <w:tc>
                      <w:tcPr>
                        <w:tcW w:w="8028" w:type="dxa"/>
                        <w:vMerge w:val="restart"/>
                        <w:tcMar>
                          <w:top w:w="0" w:type="dxa"/>
                          <w:left w:w="108" w:type="dxa"/>
                          <w:bottom w:w="0" w:type="dxa"/>
                          <w:right w:w="108" w:type="dxa"/>
                        </w:tcMar>
                      </w:tcPr>
                      <w:tbl>
                        <w:tblPr>
                          <w:tblW w:w="0" w:type="auto"/>
                          <w:tblCellSpacing w:w="15" w:type="dxa"/>
                          <w:shd w:val="clear" w:color="auto" w:fill="F7F8FA"/>
                          <w:tblCellMar>
                            <w:left w:w="0" w:type="dxa"/>
                            <w:right w:w="0" w:type="dxa"/>
                          </w:tblCellMar>
                          <w:tblLook w:val="04A0"/>
                        </w:tblPr>
                        <w:tblGrid>
                          <w:gridCol w:w="66"/>
                        </w:tblGrid>
                        <w:tr w:rsidR="00932741">
                          <w:trPr>
                            <w:tblCellSpacing w:w="15" w:type="dxa"/>
                          </w:trPr>
                          <w:tc>
                            <w:tcPr>
                              <w:tcW w:w="0" w:type="auto"/>
                              <w:shd w:val="clear" w:color="auto" w:fill="F7F8FA"/>
                              <w:vAlign w:val="center"/>
                              <w:hideMark/>
                            </w:tcPr>
                            <w:p w:rsidR="00932741" w:rsidRDefault="00932741"/>
                          </w:tc>
                        </w:tr>
                      </w:tbl>
                      <w:p w:rsidR="00932741" w:rsidRDefault="00932741" w:rsidP="00620A29">
                        <w:pPr>
                          <w:jc w:val="center"/>
                          <w:rPr>
                            <w:b/>
                            <w:bCs/>
                            <w:i/>
                            <w:iCs/>
                            <w:color w:val="00B050"/>
                            <w:sz w:val="28"/>
                            <w:szCs w:val="28"/>
                          </w:rPr>
                        </w:pPr>
                        <w:r>
                          <w:rPr>
                            <w:b/>
                            <w:bCs/>
                            <w:i/>
                            <w:iCs/>
                            <w:color w:val="00B050"/>
                            <w:sz w:val="28"/>
                            <w:szCs w:val="28"/>
                          </w:rPr>
                          <w:t>PIVOT Workshop</w:t>
                        </w:r>
                      </w:p>
                      <w:p w:rsidR="00932741" w:rsidRPr="00562C48" w:rsidRDefault="00932741" w:rsidP="00620A29">
                        <w:pPr>
                          <w:jc w:val="center"/>
                          <w:rPr>
                            <w:rFonts w:asciiTheme="minorHAnsi" w:hAnsiTheme="minorHAnsi" w:cs="Arial"/>
                            <w:color w:val="222222"/>
                            <w:shd w:val="clear" w:color="auto" w:fill="FFFFFF"/>
                          </w:rPr>
                        </w:pPr>
                        <w:r w:rsidRPr="00562C48">
                          <w:rPr>
                            <w:rFonts w:asciiTheme="minorHAnsi" w:hAnsiTheme="minorHAnsi" w:cs="Arial"/>
                            <w:color w:val="222222"/>
                            <w:shd w:val="clear" w:color="auto" w:fill="FFFFFF"/>
                          </w:rPr>
                          <w:t xml:space="preserve">COS Pivot gives Research Administrators and Research Development Professionals the edge to bring together the right research opportunities, funding, and people quickly and easily. Participants will learn about the many elements of COS Pivot, create profiles, begin searching for funding, and finding collaborators. The workshop will be held on November 14, 2013, from 12:30pm to 1:45pm, in the Cheng library, room 213. </w:t>
                        </w:r>
                        <w:hyperlink r:id="rId9" w:history="1">
                          <w:r w:rsidRPr="00562C48">
                            <w:rPr>
                              <w:rStyle w:val="Hyperlink"/>
                            </w:rPr>
                            <w:t>Click Here</w:t>
                          </w:r>
                        </w:hyperlink>
                        <w:r w:rsidRPr="00562C48">
                          <w:rPr>
                            <w:rFonts w:asciiTheme="minorHAnsi" w:hAnsiTheme="minorHAnsi" w:cs="Arial"/>
                            <w:color w:val="222222"/>
                            <w:shd w:val="clear" w:color="auto" w:fill="FFFFFF"/>
                          </w:rPr>
                          <w:t xml:space="preserve"> for more information on this workshop, as well as the fall workshop schedule.</w:t>
                        </w:r>
                      </w:p>
                      <w:p w:rsidR="00932741" w:rsidRDefault="00932741">
                        <w:pPr>
                          <w:jc w:val="center"/>
                          <w:rPr>
                            <w:i/>
                            <w:sz w:val="32"/>
                            <w:szCs w:val="32"/>
                          </w:rPr>
                        </w:pPr>
                      </w:p>
                      <w:p w:rsidR="00932741" w:rsidRDefault="00932741">
                        <w:pPr>
                          <w:jc w:val="center"/>
                          <w:rPr>
                            <w:rFonts w:eastAsiaTheme="minorHAnsi" w:cstheme="minorBidi"/>
                            <w:i/>
                            <w:sz w:val="32"/>
                            <w:szCs w:val="32"/>
                          </w:rPr>
                        </w:pPr>
                        <w:r>
                          <w:rPr>
                            <w:i/>
                            <w:sz w:val="32"/>
                            <w:szCs w:val="32"/>
                          </w:rPr>
                          <w:t>New funding opportunities are in these disciplines</w:t>
                        </w:r>
                      </w:p>
                      <w:p w:rsidR="00932741" w:rsidRDefault="00932741">
                        <w:pPr>
                          <w:jc w:val="center"/>
                          <w:rPr>
                            <w:b/>
                            <w:sz w:val="28"/>
                            <w:szCs w:val="28"/>
                          </w:rPr>
                        </w:pPr>
                        <w:hyperlink w:anchor="bus" w:history="1">
                          <w:r>
                            <w:rPr>
                              <w:rStyle w:val="Hyperlink"/>
                              <w:b/>
                              <w:sz w:val="28"/>
                              <w:szCs w:val="28"/>
                            </w:rPr>
                            <w:t>Business and Economics</w:t>
                          </w:r>
                        </w:hyperlink>
                      </w:p>
                      <w:p w:rsidR="00932741" w:rsidRDefault="00932741">
                        <w:pPr>
                          <w:jc w:val="center"/>
                          <w:rPr>
                            <w:b/>
                            <w:sz w:val="28"/>
                            <w:szCs w:val="28"/>
                          </w:rPr>
                        </w:pPr>
                        <w:hyperlink w:anchor="env" w:history="1">
                          <w:r>
                            <w:rPr>
                              <w:rStyle w:val="Hyperlink"/>
                              <w:b/>
                              <w:sz w:val="28"/>
                              <w:szCs w:val="28"/>
                            </w:rPr>
                            <w:t>Environme</w:t>
                          </w:r>
                          <w:r>
                            <w:rPr>
                              <w:rStyle w:val="Hyperlink"/>
                              <w:b/>
                              <w:sz w:val="28"/>
                              <w:szCs w:val="28"/>
                            </w:rPr>
                            <w:t>n</w:t>
                          </w:r>
                          <w:r>
                            <w:rPr>
                              <w:rStyle w:val="Hyperlink"/>
                              <w:b/>
                              <w:sz w:val="28"/>
                              <w:szCs w:val="28"/>
                            </w:rPr>
                            <w:t>t</w:t>
                          </w:r>
                        </w:hyperlink>
                      </w:p>
                      <w:p w:rsidR="00932741" w:rsidRDefault="00932741">
                        <w:pPr>
                          <w:jc w:val="center"/>
                          <w:rPr>
                            <w:b/>
                            <w:sz w:val="28"/>
                            <w:szCs w:val="28"/>
                          </w:rPr>
                        </w:pPr>
                        <w:hyperlink w:anchor="hea" w:history="1">
                          <w:r>
                            <w:rPr>
                              <w:rStyle w:val="Hyperlink"/>
                              <w:b/>
                              <w:sz w:val="28"/>
                              <w:szCs w:val="28"/>
                            </w:rPr>
                            <w:t>Health</w:t>
                          </w:r>
                        </w:hyperlink>
                      </w:p>
                      <w:p w:rsidR="00932741" w:rsidRDefault="00932741">
                        <w:pPr>
                          <w:jc w:val="center"/>
                          <w:rPr>
                            <w:b/>
                            <w:sz w:val="28"/>
                            <w:szCs w:val="28"/>
                          </w:rPr>
                        </w:pPr>
                        <w:hyperlink w:anchor="hum" w:history="1">
                          <w:r>
                            <w:rPr>
                              <w:rStyle w:val="Hyperlink"/>
                              <w:b/>
                              <w:sz w:val="28"/>
                              <w:szCs w:val="28"/>
                            </w:rPr>
                            <w:t>Humanities and Language</w:t>
                          </w:r>
                        </w:hyperlink>
                      </w:p>
                      <w:p w:rsidR="00932741" w:rsidRDefault="007E551F">
                        <w:pPr>
                          <w:jc w:val="center"/>
                          <w:rPr>
                            <w:b/>
                            <w:sz w:val="28"/>
                            <w:szCs w:val="28"/>
                          </w:rPr>
                        </w:pPr>
                        <w:hyperlink w:anchor="lib" w:history="1">
                          <w:r w:rsidRPr="007E551F">
                            <w:rPr>
                              <w:rStyle w:val="Hyperlink"/>
                              <w:b/>
                              <w:sz w:val="28"/>
                              <w:szCs w:val="28"/>
                            </w:rPr>
                            <w:t>Library and</w:t>
                          </w:r>
                          <w:r w:rsidRPr="007E551F">
                            <w:rPr>
                              <w:rStyle w:val="Hyperlink"/>
                              <w:b/>
                              <w:sz w:val="28"/>
                              <w:szCs w:val="28"/>
                            </w:rPr>
                            <w:t xml:space="preserve"> </w:t>
                          </w:r>
                          <w:r w:rsidRPr="007E551F">
                            <w:rPr>
                              <w:rStyle w:val="Hyperlink"/>
                              <w:b/>
                              <w:sz w:val="28"/>
                              <w:szCs w:val="28"/>
                            </w:rPr>
                            <w:t>Museum</w:t>
                          </w:r>
                        </w:hyperlink>
                      </w:p>
                      <w:p w:rsidR="00932741" w:rsidRDefault="00932741">
                        <w:pPr>
                          <w:jc w:val="center"/>
                          <w:rPr>
                            <w:b/>
                            <w:sz w:val="28"/>
                            <w:szCs w:val="28"/>
                          </w:rPr>
                        </w:pPr>
                        <w:hyperlink w:anchor="mul" w:history="1">
                          <w:r>
                            <w:rPr>
                              <w:rStyle w:val="Hyperlink"/>
                              <w:b/>
                              <w:sz w:val="28"/>
                              <w:szCs w:val="28"/>
                            </w:rPr>
                            <w:t>Multi and Cross Disciplinary</w:t>
                          </w:r>
                        </w:hyperlink>
                      </w:p>
                      <w:p w:rsidR="00932741" w:rsidRDefault="00932741">
                        <w:pPr>
                          <w:jc w:val="center"/>
                          <w:rPr>
                            <w:b/>
                            <w:sz w:val="28"/>
                            <w:szCs w:val="28"/>
                          </w:rPr>
                        </w:pPr>
                        <w:hyperlink w:anchor="phy" w:history="1">
                          <w:r>
                            <w:rPr>
                              <w:rStyle w:val="Hyperlink"/>
                              <w:b/>
                              <w:sz w:val="28"/>
                              <w:szCs w:val="28"/>
                            </w:rPr>
                            <w:t>Physical Sciences and Math</w:t>
                          </w:r>
                        </w:hyperlink>
                      </w:p>
                      <w:p w:rsidR="00932741" w:rsidRDefault="00932741">
                        <w:pPr>
                          <w:jc w:val="center"/>
                          <w:rPr>
                            <w:b/>
                            <w:sz w:val="28"/>
                            <w:szCs w:val="28"/>
                          </w:rPr>
                        </w:pPr>
                        <w:hyperlink w:anchor="soc" w:history="1">
                          <w:r>
                            <w:rPr>
                              <w:rStyle w:val="Hyperlink"/>
                              <w:b/>
                              <w:sz w:val="28"/>
                              <w:szCs w:val="28"/>
                            </w:rPr>
                            <w:t>Social Sciences</w:t>
                          </w:r>
                        </w:hyperlink>
                      </w:p>
                      <w:p w:rsidR="00932741" w:rsidRDefault="0084443D">
                        <w:pPr>
                          <w:jc w:val="center"/>
                          <w:rPr>
                            <w:b/>
                            <w:sz w:val="28"/>
                            <w:szCs w:val="28"/>
                          </w:rPr>
                        </w:pPr>
                        <w:hyperlink w:anchor="stu" w:history="1">
                          <w:r w:rsidRPr="0084443D">
                            <w:rPr>
                              <w:rStyle w:val="Hyperlink"/>
                              <w:b/>
                              <w:sz w:val="28"/>
                              <w:szCs w:val="28"/>
                            </w:rPr>
                            <w:t>Student Developme</w:t>
                          </w:r>
                          <w:r w:rsidRPr="0084443D">
                            <w:rPr>
                              <w:rStyle w:val="Hyperlink"/>
                              <w:b/>
                              <w:sz w:val="28"/>
                              <w:szCs w:val="28"/>
                            </w:rPr>
                            <w:t>n</w:t>
                          </w:r>
                          <w:r w:rsidRPr="0084443D">
                            <w:rPr>
                              <w:rStyle w:val="Hyperlink"/>
                              <w:b/>
                              <w:sz w:val="28"/>
                              <w:szCs w:val="28"/>
                            </w:rPr>
                            <w:t>t</w:t>
                          </w:r>
                        </w:hyperlink>
                      </w:p>
                      <w:p w:rsidR="00932741" w:rsidRDefault="00932741">
                        <w:pPr>
                          <w:jc w:val="center"/>
                          <w:rPr>
                            <w:b/>
                            <w:bCs/>
                            <w:sz w:val="28"/>
                            <w:szCs w:val="28"/>
                          </w:rPr>
                        </w:pPr>
                      </w:p>
                      <w:p w:rsidR="00932741" w:rsidRDefault="00932741">
                        <w:pPr>
                          <w:jc w:val="center"/>
                          <w:rPr>
                            <w:rFonts w:eastAsiaTheme="minorHAnsi"/>
                          </w:rPr>
                        </w:pPr>
                      </w:p>
                    </w:tc>
                    <w:tc>
                      <w:tcPr>
                        <w:tcW w:w="2360" w:type="dxa"/>
                        <w:gridSpan w:val="2"/>
                        <w:tcMar>
                          <w:top w:w="0" w:type="dxa"/>
                          <w:left w:w="108" w:type="dxa"/>
                          <w:bottom w:w="0" w:type="dxa"/>
                          <w:right w:w="108" w:type="dxa"/>
                        </w:tcMar>
                      </w:tcPr>
                      <w:p w:rsidR="00932741" w:rsidRDefault="00932741">
                        <w:pPr>
                          <w:jc w:val="center"/>
                          <w:rPr>
                            <w:rFonts w:eastAsiaTheme="minorHAnsi" w:cstheme="minorBidi"/>
                            <w:sz w:val="24"/>
                            <w:szCs w:val="24"/>
                          </w:rPr>
                        </w:pPr>
                        <w:hyperlink r:id="rId10" w:history="1">
                          <w:r>
                            <w:rPr>
                              <w:rStyle w:val="Hyperlink"/>
                              <w:sz w:val="24"/>
                              <w:szCs w:val="24"/>
                            </w:rPr>
                            <w:t>Workshops Calendar</w:t>
                          </w:r>
                        </w:hyperlink>
                      </w:p>
                      <w:p w:rsidR="00932741" w:rsidRDefault="00932741">
                        <w:pPr>
                          <w:pStyle w:val="NormalWeb"/>
                          <w:shd w:val="clear" w:color="auto" w:fill="F7F8FA"/>
                          <w:jc w:val="center"/>
                          <w:rPr>
                            <w:b/>
                            <w:bCs/>
                            <w:color w:val="FF0000"/>
                          </w:rPr>
                        </w:pPr>
                      </w:p>
                    </w:tc>
                  </w:tr>
                  <w:tr w:rsidR="00932741">
                    <w:trPr>
                      <w:trHeight w:val="528"/>
                    </w:trPr>
                    <w:tc>
                      <w:tcPr>
                        <w:tcW w:w="0" w:type="auto"/>
                        <w:vMerge/>
                        <w:vAlign w:val="center"/>
                        <w:hideMark/>
                      </w:tcPr>
                      <w:p w:rsidR="00932741" w:rsidRDefault="00932741">
                        <w:pPr>
                          <w:rPr>
                            <w:rFonts w:eastAsiaTheme="minorHAnsi"/>
                          </w:rPr>
                        </w:pPr>
                      </w:p>
                    </w:tc>
                    <w:tc>
                      <w:tcPr>
                        <w:tcW w:w="2360" w:type="dxa"/>
                        <w:gridSpan w:val="2"/>
                        <w:tcMar>
                          <w:top w:w="0" w:type="dxa"/>
                          <w:left w:w="108" w:type="dxa"/>
                          <w:bottom w:w="0" w:type="dxa"/>
                          <w:right w:w="108" w:type="dxa"/>
                        </w:tcMar>
                      </w:tcPr>
                      <w:p w:rsidR="00932741" w:rsidRDefault="00932741">
                        <w:pPr>
                          <w:jc w:val="center"/>
                          <w:rPr>
                            <w:rFonts w:eastAsiaTheme="minorHAnsi" w:cstheme="minorBidi"/>
                            <w:sz w:val="24"/>
                            <w:szCs w:val="24"/>
                          </w:rPr>
                        </w:pPr>
                        <w:hyperlink r:id="rId11" w:history="1">
                          <w:r>
                            <w:rPr>
                              <w:rStyle w:val="Hyperlink"/>
                              <w:sz w:val="24"/>
                              <w:szCs w:val="24"/>
                            </w:rPr>
                            <w:t>Institutional Review Board</w:t>
                          </w:r>
                        </w:hyperlink>
                      </w:p>
                      <w:p w:rsidR="00932741" w:rsidRDefault="00932741">
                        <w:pPr>
                          <w:jc w:val="center"/>
                          <w:rPr>
                            <w:rFonts w:eastAsiaTheme="minorHAnsi"/>
                          </w:rPr>
                        </w:pPr>
                      </w:p>
                    </w:tc>
                  </w:tr>
                  <w:tr w:rsidR="00932741">
                    <w:trPr>
                      <w:trHeight w:val="528"/>
                    </w:trPr>
                    <w:tc>
                      <w:tcPr>
                        <w:tcW w:w="0" w:type="auto"/>
                        <w:vMerge/>
                        <w:vAlign w:val="center"/>
                        <w:hideMark/>
                      </w:tcPr>
                      <w:p w:rsidR="00932741" w:rsidRDefault="00932741">
                        <w:pPr>
                          <w:rPr>
                            <w:rFonts w:eastAsiaTheme="minorHAnsi"/>
                          </w:rPr>
                        </w:pPr>
                      </w:p>
                    </w:tc>
                    <w:tc>
                      <w:tcPr>
                        <w:tcW w:w="2360" w:type="dxa"/>
                        <w:gridSpan w:val="2"/>
                        <w:tcMar>
                          <w:top w:w="0" w:type="dxa"/>
                          <w:left w:w="108" w:type="dxa"/>
                          <w:bottom w:w="0" w:type="dxa"/>
                          <w:right w:w="108" w:type="dxa"/>
                        </w:tcMar>
                        <w:hideMark/>
                      </w:tcPr>
                      <w:p w:rsidR="00932741" w:rsidRDefault="00932741">
                        <w:pPr>
                          <w:jc w:val="center"/>
                          <w:rPr>
                            <w:rFonts w:eastAsiaTheme="minorHAnsi"/>
                          </w:rPr>
                        </w:pPr>
                        <w:hyperlink r:id="rId12" w:history="1">
                          <w:r>
                            <w:rPr>
                              <w:rStyle w:val="Hyperlink"/>
                              <w:sz w:val="24"/>
                              <w:szCs w:val="24"/>
                            </w:rPr>
                            <w:t>Preparing Proposals</w:t>
                          </w:r>
                        </w:hyperlink>
                      </w:p>
                    </w:tc>
                  </w:tr>
                  <w:tr w:rsidR="00932741">
                    <w:trPr>
                      <w:trHeight w:val="528"/>
                    </w:trPr>
                    <w:tc>
                      <w:tcPr>
                        <w:tcW w:w="0" w:type="auto"/>
                        <w:vMerge/>
                        <w:vAlign w:val="center"/>
                        <w:hideMark/>
                      </w:tcPr>
                      <w:p w:rsidR="00932741" w:rsidRDefault="00932741">
                        <w:pPr>
                          <w:rPr>
                            <w:rFonts w:eastAsiaTheme="minorHAnsi"/>
                          </w:rPr>
                        </w:pPr>
                      </w:p>
                    </w:tc>
                    <w:tc>
                      <w:tcPr>
                        <w:tcW w:w="2360" w:type="dxa"/>
                        <w:gridSpan w:val="2"/>
                        <w:tcMar>
                          <w:top w:w="0" w:type="dxa"/>
                          <w:left w:w="108" w:type="dxa"/>
                          <w:bottom w:w="0" w:type="dxa"/>
                          <w:right w:w="108" w:type="dxa"/>
                        </w:tcMar>
                      </w:tcPr>
                      <w:p w:rsidR="00932741" w:rsidRDefault="00932741">
                        <w:pPr>
                          <w:jc w:val="center"/>
                          <w:rPr>
                            <w:rFonts w:eastAsiaTheme="minorHAnsi" w:cstheme="minorBidi"/>
                            <w:sz w:val="24"/>
                            <w:szCs w:val="24"/>
                          </w:rPr>
                        </w:pPr>
                        <w:hyperlink r:id="rId13" w:history="1">
                          <w:r>
                            <w:rPr>
                              <w:rStyle w:val="Hyperlink"/>
                              <w:sz w:val="24"/>
                              <w:szCs w:val="24"/>
                            </w:rPr>
                            <w:t>Proposal Writing Resources</w:t>
                          </w:r>
                        </w:hyperlink>
                      </w:p>
                      <w:p w:rsidR="00932741" w:rsidRDefault="00932741">
                        <w:pPr>
                          <w:jc w:val="center"/>
                          <w:rPr>
                            <w:rFonts w:eastAsiaTheme="minorHAnsi"/>
                          </w:rPr>
                        </w:pPr>
                      </w:p>
                    </w:tc>
                  </w:tr>
                  <w:tr w:rsidR="00932741">
                    <w:trPr>
                      <w:trHeight w:val="528"/>
                    </w:trPr>
                    <w:tc>
                      <w:tcPr>
                        <w:tcW w:w="0" w:type="auto"/>
                        <w:vMerge/>
                        <w:vAlign w:val="center"/>
                        <w:hideMark/>
                      </w:tcPr>
                      <w:p w:rsidR="00932741" w:rsidRDefault="00932741">
                        <w:pPr>
                          <w:rPr>
                            <w:rFonts w:eastAsiaTheme="minorHAnsi"/>
                          </w:rPr>
                        </w:pPr>
                      </w:p>
                    </w:tc>
                    <w:tc>
                      <w:tcPr>
                        <w:tcW w:w="2360" w:type="dxa"/>
                        <w:gridSpan w:val="2"/>
                        <w:tcMar>
                          <w:top w:w="0" w:type="dxa"/>
                          <w:left w:w="108" w:type="dxa"/>
                          <w:bottom w:w="0" w:type="dxa"/>
                          <w:right w:w="108" w:type="dxa"/>
                        </w:tcMar>
                      </w:tcPr>
                      <w:p w:rsidR="00932741" w:rsidRDefault="00932741">
                        <w:pPr>
                          <w:jc w:val="center"/>
                          <w:rPr>
                            <w:rFonts w:eastAsiaTheme="minorHAnsi" w:cstheme="minorBidi"/>
                            <w:sz w:val="24"/>
                            <w:szCs w:val="24"/>
                          </w:rPr>
                        </w:pPr>
                        <w:hyperlink r:id="rId14" w:history="1">
                          <w:r>
                            <w:rPr>
                              <w:rStyle w:val="Hyperlink"/>
                              <w:sz w:val="24"/>
                              <w:szCs w:val="24"/>
                            </w:rPr>
                            <w:t>Recent Awards</w:t>
                          </w:r>
                        </w:hyperlink>
                      </w:p>
                      <w:p w:rsidR="00932741" w:rsidRDefault="00932741">
                        <w:pPr>
                          <w:jc w:val="center"/>
                          <w:rPr>
                            <w:rFonts w:eastAsiaTheme="minorHAnsi"/>
                          </w:rPr>
                        </w:pPr>
                      </w:p>
                    </w:tc>
                  </w:tr>
                  <w:tr w:rsidR="00932741">
                    <w:trPr>
                      <w:trHeight w:val="528"/>
                    </w:trPr>
                    <w:tc>
                      <w:tcPr>
                        <w:tcW w:w="0" w:type="auto"/>
                        <w:vMerge/>
                        <w:vAlign w:val="center"/>
                        <w:hideMark/>
                      </w:tcPr>
                      <w:p w:rsidR="00932741" w:rsidRDefault="00932741">
                        <w:pPr>
                          <w:rPr>
                            <w:rFonts w:eastAsiaTheme="minorHAnsi"/>
                          </w:rPr>
                        </w:pPr>
                      </w:p>
                    </w:tc>
                    <w:tc>
                      <w:tcPr>
                        <w:tcW w:w="2360" w:type="dxa"/>
                        <w:gridSpan w:val="2"/>
                        <w:tcMar>
                          <w:top w:w="0" w:type="dxa"/>
                          <w:left w:w="108" w:type="dxa"/>
                          <w:bottom w:w="0" w:type="dxa"/>
                          <w:right w:w="108" w:type="dxa"/>
                        </w:tcMar>
                      </w:tcPr>
                      <w:p w:rsidR="00932741" w:rsidRDefault="00932741" w:rsidP="003D645E">
                        <w:pPr>
                          <w:rPr>
                            <w:rFonts w:eastAsiaTheme="minorHAnsi"/>
                          </w:rPr>
                        </w:pPr>
                      </w:p>
                    </w:tc>
                  </w:tr>
                  <w:tr w:rsidR="00932741">
                    <w:trPr>
                      <w:trHeight w:val="238"/>
                    </w:trPr>
                    <w:tc>
                      <w:tcPr>
                        <w:tcW w:w="0" w:type="auto"/>
                        <w:vMerge/>
                        <w:vAlign w:val="center"/>
                        <w:hideMark/>
                      </w:tcPr>
                      <w:p w:rsidR="00932741" w:rsidRDefault="00932741">
                        <w:pPr>
                          <w:rPr>
                            <w:rFonts w:eastAsiaTheme="minorHAnsi"/>
                          </w:rPr>
                        </w:pPr>
                      </w:p>
                    </w:tc>
                    <w:tc>
                      <w:tcPr>
                        <w:tcW w:w="2360" w:type="dxa"/>
                        <w:gridSpan w:val="2"/>
                        <w:tcMar>
                          <w:top w:w="0" w:type="dxa"/>
                          <w:left w:w="108" w:type="dxa"/>
                          <w:bottom w:w="0" w:type="dxa"/>
                          <w:right w:w="108" w:type="dxa"/>
                        </w:tcMar>
                        <w:hideMark/>
                      </w:tcPr>
                      <w:p w:rsidR="00932741" w:rsidRDefault="00932741">
                        <w:pPr>
                          <w:jc w:val="center"/>
                          <w:rPr>
                            <w:rFonts w:eastAsiaTheme="minorHAnsi"/>
                            <w:b/>
                            <w:bCs/>
                            <w:sz w:val="28"/>
                            <w:szCs w:val="28"/>
                            <w:u w:val="single"/>
                          </w:rPr>
                        </w:pPr>
                        <w:r>
                          <w:rPr>
                            <w:b/>
                            <w:bCs/>
                            <w:sz w:val="28"/>
                            <w:szCs w:val="28"/>
                            <w:u w:val="single"/>
                          </w:rPr>
                          <w:t>Office Hours</w:t>
                        </w:r>
                      </w:p>
                    </w:tc>
                  </w:tr>
                  <w:tr w:rsidR="00932741">
                    <w:trPr>
                      <w:trHeight w:val="237"/>
                    </w:trPr>
                    <w:tc>
                      <w:tcPr>
                        <w:tcW w:w="0" w:type="auto"/>
                        <w:vMerge/>
                        <w:vAlign w:val="center"/>
                        <w:hideMark/>
                      </w:tcPr>
                      <w:p w:rsidR="00932741" w:rsidRDefault="00932741">
                        <w:pPr>
                          <w:rPr>
                            <w:rFonts w:eastAsiaTheme="minorHAnsi"/>
                          </w:rPr>
                        </w:pPr>
                      </w:p>
                    </w:tc>
                    <w:tc>
                      <w:tcPr>
                        <w:tcW w:w="1227" w:type="dxa"/>
                        <w:tcMar>
                          <w:top w:w="0" w:type="dxa"/>
                          <w:left w:w="108" w:type="dxa"/>
                          <w:bottom w:w="0" w:type="dxa"/>
                          <w:right w:w="108" w:type="dxa"/>
                        </w:tcMar>
                        <w:hideMark/>
                      </w:tcPr>
                      <w:p w:rsidR="00932741" w:rsidRDefault="00932741">
                        <w:pPr>
                          <w:jc w:val="center"/>
                          <w:rPr>
                            <w:rFonts w:eastAsiaTheme="minorHAnsi"/>
                          </w:rPr>
                        </w:pPr>
                        <w:r>
                          <w:rPr>
                            <w:sz w:val="20"/>
                            <w:szCs w:val="20"/>
                          </w:rPr>
                          <w:t xml:space="preserve">Monday:        </w:t>
                        </w:r>
                      </w:p>
                    </w:tc>
                    <w:tc>
                      <w:tcPr>
                        <w:tcW w:w="1133" w:type="dxa"/>
                        <w:tcMar>
                          <w:top w:w="0" w:type="dxa"/>
                          <w:left w:w="108" w:type="dxa"/>
                          <w:bottom w:w="0" w:type="dxa"/>
                          <w:right w:w="108" w:type="dxa"/>
                        </w:tcMar>
                        <w:hideMark/>
                      </w:tcPr>
                      <w:p w:rsidR="00932741" w:rsidRDefault="00932741">
                        <w:pPr>
                          <w:jc w:val="center"/>
                          <w:rPr>
                            <w:rFonts w:eastAsiaTheme="minorHAnsi"/>
                            <w:sz w:val="20"/>
                            <w:szCs w:val="20"/>
                          </w:rPr>
                        </w:pPr>
                        <w:r>
                          <w:rPr>
                            <w:sz w:val="20"/>
                            <w:szCs w:val="20"/>
                          </w:rPr>
                          <w:t>8:30-4:30</w:t>
                        </w:r>
                      </w:p>
                    </w:tc>
                  </w:tr>
                  <w:tr w:rsidR="00932741">
                    <w:trPr>
                      <w:trHeight w:val="237"/>
                    </w:trPr>
                    <w:tc>
                      <w:tcPr>
                        <w:tcW w:w="0" w:type="auto"/>
                        <w:vMerge/>
                        <w:vAlign w:val="center"/>
                        <w:hideMark/>
                      </w:tcPr>
                      <w:p w:rsidR="00932741" w:rsidRDefault="00932741">
                        <w:pPr>
                          <w:rPr>
                            <w:rFonts w:eastAsiaTheme="minorHAnsi"/>
                          </w:rPr>
                        </w:pPr>
                      </w:p>
                    </w:tc>
                    <w:tc>
                      <w:tcPr>
                        <w:tcW w:w="1227" w:type="dxa"/>
                        <w:shd w:val="clear" w:color="auto" w:fill="BFBFBF"/>
                        <w:tcMar>
                          <w:top w:w="0" w:type="dxa"/>
                          <w:left w:w="108" w:type="dxa"/>
                          <w:bottom w:w="0" w:type="dxa"/>
                          <w:right w:w="108" w:type="dxa"/>
                        </w:tcMar>
                        <w:hideMark/>
                      </w:tcPr>
                      <w:p w:rsidR="00932741" w:rsidRDefault="00932741">
                        <w:pPr>
                          <w:jc w:val="center"/>
                          <w:rPr>
                            <w:rFonts w:eastAsiaTheme="minorHAnsi"/>
                          </w:rPr>
                        </w:pPr>
                        <w:r>
                          <w:rPr>
                            <w:sz w:val="20"/>
                            <w:szCs w:val="20"/>
                          </w:rPr>
                          <w:t xml:space="preserve">Tuesday:        </w:t>
                        </w:r>
                      </w:p>
                    </w:tc>
                    <w:tc>
                      <w:tcPr>
                        <w:tcW w:w="1133" w:type="dxa"/>
                        <w:shd w:val="clear" w:color="auto" w:fill="BFBFBF"/>
                        <w:tcMar>
                          <w:top w:w="0" w:type="dxa"/>
                          <w:left w:w="108" w:type="dxa"/>
                          <w:bottom w:w="0" w:type="dxa"/>
                          <w:right w:w="108" w:type="dxa"/>
                        </w:tcMar>
                        <w:hideMark/>
                      </w:tcPr>
                      <w:p w:rsidR="00932741" w:rsidRDefault="00932741">
                        <w:pPr>
                          <w:jc w:val="center"/>
                          <w:rPr>
                            <w:rFonts w:eastAsiaTheme="minorHAnsi"/>
                            <w:sz w:val="20"/>
                            <w:szCs w:val="20"/>
                          </w:rPr>
                        </w:pPr>
                        <w:r>
                          <w:rPr>
                            <w:sz w:val="20"/>
                            <w:szCs w:val="20"/>
                          </w:rPr>
                          <w:t>8:30-4:30</w:t>
                        </w:r>
                      </w:p>
                    </w:tc>
                  </w:tr>
                  <w:tr w:rsidR="00932741">
                    <w:trPr>
                      <w:trHeight w:val="237"/>
                    </w:trPr>
                    <w:tc>
                      <w:tcPr>
                        <w:tcW w:w="0" w:type="auto"/>
                        <w:vMerge/>
                        <w:vAlign w:val="center"/>
                        <w:hideMark/>
                      </w:tcPr>
                      <w:p w:rsidR="00932741" w:rsidRDefault="00932741">
                        <w:pPr>
                          <w:rPr>
                            <w:rFonts w:eastAsiaTheme="minorHAnsi"/>
                          </w:rPr>
                        </w:pPr>
                      </w:p>
                    </w:tc>
                    <w:tc>
                      <w:tcPr>
                        <w:tcW w:w="1227" w:type="dxa"/>
                        <w:tcMar>
                          <w:top w:w="0" w:type="dxa"/>
                          <w:left w:w="108" w:type="dxa"/>
                          <w:bottom w:w="0" w:type="dxa"/>
                          <w:right w:w="108" w:type="dxa"/>
                        </w:tcMar>
                        <w:hideMark/>
                      </w:tcPr>
                      <w:p w:rsidR="00932741" w:rsidRDefault="00932741">
                        <w:pPr>
                          <w:jc w:val="center"/>
                          <w:rPr>
                            <w:rFonts w:eastAsiaTheme="minorHAnsi"/>
                          </w:rPr>
                        </w:pPr>
                        <w:r>
                          <w:rPr>
                            <w:sz w:val="20"/>
                            <w:szCs w:val="20"/>
                          </w:rPr>
                          <w:t xml:space="preserve">Wednesday:  </w:t>
                        </w:r>
                      </w:p>
                    </w:tc>
                    <w:tc>
                      <w:tcPr>
                        <w:tcW w:w="1133" w:type="dxa"/>
                        <w:tcMar>
                          <w:top w:w="0" w:type="dxa"/>
                          <w:left w:w="108" w:type="dxa"/>
                          <w:bottom w:w="0" w:type="dxa"/>
                          <w:right w:w="108" w:type="dxa"/>
                        </w:tcMar>
                        <w:hideMark/>
                      </w:tcPr>
                      <w:p w:rsidR="00932741" w:rsidRDefault="00932741">
                        <w:pPr>
                          <w:jc w:val="center"/>
                          <w:rPr>
                            <w:rFonts w:eastAsiaTheme="minorHAnsi"/>
                            <w:sz w:val="20"/>
                            <w:szCs w:val="20"/>
                          </w:rPr>
                        </w:pPr>
                        <w:r>
                          <w:rPr>
                            <w:sz w:val="20"/>
                            <w:szCs w:val="20"/>
                          </w:rPr>
                          <w:t>8:30-4:30</w:t>
                        </w:r>
                      </w:p>
                    </w:tc>
                  </w:tr>
                  <w:tr w:rsidR="00932741">
                    <w:trPr>
                      <w:trHeight w:val="237"/>
                    </w:trPr>
                    <w:tc>
                      <w:tcPr>
                        <w:tcW w:w="0" w:type="auto"/>
                        <w:vMerge/>
                        <w:vAlign w:val="center"/>
                        <w:hideMark/>
                      </w:tcPr>
                      <w:p w:rsidR="00932741" w:rsidRDefault="00932741">
                        <w:pPr>
                          <w:rPr>
                            <w:rFonts w:eastAsiaTheme="minorHAnsi"/>
                          </w:rPr>
                        </w:pPr>
                      </w:p>
                    </w:tc>
                    <w:tc>
                      <w:tcPr>
                        <w:tcW w:w="1227" w:type="dxa"/>
                        <w:shd w:val="clear" w:color="auto" w:fill="BFBFBF"/>
                        <w:tcMar>
                          <w:top w:w="0" w:type="dxa"/>
                          <w:left w:w="108" w:type="dxa"/>
                          <w:bottom w:w="0" w:type="dxa"/>
                          <w:right w:w="108" w:type="dxa"/>
                        </w:tcMar>
                        <w:hideMark/>
                      </w:tcPr>
                      <w:p w:rsidR="00932741" w:rsidRDefault="00932741">
                        <w:pPr>
                          <w:jc w:val="center"/>
                          <w:rPr>
                            <w:rFonts w:eastAsiaTheme="minorHAnsi"/>
                          </w:rPr>
                        </w:pPr>
                        <w:r>
                          <w:rPr>
                            <w:sz w:val="20"/>
                            <w:szCs w:val="20"/>
                          </w:rPr>
                          <w:t xml:space="preserve">Thursday:      </w:t>
                        </w:r>
                      </w:p>
                    </w:tc>
                    <w:tc>
                      <w:tcPr>
                        <w:tcW w:w="1133" w:type="dxa"/>
                        <w:shd w:val="clear" w:color="auto" w:fill="BFBFBF"/>
                        <w:tcMar>
                          <w:top w:w="0" w:type="dxa"/>
                          <w:left w:w="108" w:type="dxa"/>
                          <w:bottom w:w="0" w:type="dxa"/>
                          <w:right w:w="108" w:type="dxa"/>
                        </w:tcMar>
                        <w:hideMark/>
                      </w:tcPr>
                      <w:p w:rsidR="00932741" w:rsidRDefault="00932741">
                        <w:pPr>
                          <w:jc w:val="center"/>
                          <w:rPr>
                            <w:rFonts w:eastAsiaTheme="minorHAnsi"/>
                            <w:sz w:val="20"/>
                            <w:szCs w:val="20"/>
                          </w:rPr>
                        </w:pPr>
                        <w:r>
                          <w:rPr>
                            <w:sz w:val="20"/>
                            <w:szCs w:val="20"/>
                          </w:rPr>
                          <w:t>8:30-4:30</w:t>
                        </w:r>
                      </w:p>
                    </w:tc>
                  </w:tr>
                  <w:tr w:rsidR="00932741">
                    <w:trPr>
                      <w:trHeight w:val="340"/>
                    </w:trPr>
                    <w:tc>
                      <w:tcPr>
                        <w:tcW w:w="0" w:type="auto"/>
                        <w:vMerge/>
                        <w:vAlign w:val="center"/>
                        <w:hideMark/>
                      </w:tcPr>
                      <w:p w:rsidR="00932741" w:rsidRDefault="00932741">
                        <w:pPr>
                          <w:rPr>
                            <w:rFonts w:eastAsiaTheme="minorHAnsi"/>
                          </w:rPr>
                        </w:pPr>
                      </w:p>
                    </w:tc>
                    <w:tc>
                      <w:tcPr>
                        <w:tcW w:w="1227" w:type="dxa"/>
                        <w:tcMar>
                          <w:top w:w="0" w:type="dxa"/>
                          <w:left w:w="108" w:type="dxa"/>
                          <w:bottom w:w="0" w:type="dxa"/>
                          <w:right w:w="108" w:type="dxa"/>
                        </w:tcMar>
                        <w:hideMark/>
                      </w:tcPr>
                      <w:p w:rsidR="00932741" w:rsidRDefault="00932741">
                        <w:pPr>
                          <w:jc w:val="center"/>
                          <w:rPr>
                            <w:rFonts w:eastAsiaTheme="minorHAnsi"/>
                          </w:rPr>
                        </w:pPr>
                        <w:r>
                          <w:rPr>
                            <w:sz w:val="20"/>
                            <w:szCs w:val="20"/>
                          </w:rPr>
                          <w:t xml:space="preserve">Friday:            </w:t>
                        </w:r>
                      </w:p>
                    </w:tc>
                    <w:tc>
                      <w:tcPr>
                        <w:tcW w:w="1133" w:type="dxa"/>
                        <w:tcMar>
                          <w:top w:w="0" w:type="dxa"/>
                          <w:left w:w="108" w:type="dxa"/>
                          <w:bottom w:w="0" w:type="dxa"/>
                          <w:right w:w="108" w:type="dxa"/>
                        </w:tcMar>
                        <w:hideMark/>
                      </w:tcPr>
                      <w:p w:rsidR="00932741" w:rsidRDefault="00932741">
                        <w:pPr>
                          <w:jc w:val="center"/>
                          <w:rPr>
                            <w:rFonts w:eastAsiaTheme="minorHAnsi"/>
                            <w:sz w:val="20"/>
                            <w:szCs w:val="20"/>
                          </w:rPr>
                        </w:pPr>
                        <w:r>
                          <w:rPr>
                            <w:sz w:val="20"/>
                            <w:szCs w:val="20"/>
                          </w:rPr>
                          <w:t>8:30-4:30</w:t>
                        </w:r>
                      </w:p>
                    </w:tc>
                  </w:tr>
                  <w:tr w:rsidR="00932741">
                    <w:trPr>
                      <w:trHeight w:val="970"/>
                    </w:trPr>
                    <w:tc>
                      <w:tcPr>
                        <w:tcW w:w="0" w:type="auto"/>
                        <w:vMerge/>
                        <w:vAlign w:val="center"/>
                        <w:hideMark/>
                      </w:tcPr>
                      <w:p w:rsidR="00932741" w:rsidRDefault="00932741">
                        <w:pPr>
                          <w:rPr>
                            <w:rFonts w:eastAsiaTheme="minorHAnsi"/>
                          </w:rPr>
                        </w:pPr>
                      </w:p>
                    </w:tc>
                    <w:tc>
                      <w:tcPr>
                        <w:tcW w:w="2360" w:type="dxa"/>
                        <w:gridSpan w:val="2"/>
                        <w:tcMar>
                          <w:top w:w="0" w:type="dxa"/>
                          <w:left w:w="108" w:type="dxa"/>
                          <w:bottom w:w="0" w:type="dxa"/>
                          <w:right w:w="108" w:type="dxa"/>
                        </w:tcMar>
                        <w:hideMark/>
                      </w:tcPr>
                      <w:p w:rsidR="00932741" w:rsidRDefault="00932741">
                        <w:pPr>
                          <w:jc w:val="center"/>
                          <w:rPr>
                            <w:rFonts w:eastAsiaTheme="minorHAnsi"/>
                            <w:sz w:val="20"/>
                            <w:szCs w:val="20"/>
                          </w:rPr>
                        </w:pPr>
                        <w:hyperlink r:id="rId15" w:history="1">
                          <w:r>
                            <w:rPr>
                              <w:rStyle w:val="Hyperlink"/>
                              <w:sz w:val="20"/>
                              <w:szCs w:val="20"/>
                            </w:rPr>
                            <w:t>Click here</w:t>
                          </w:r>
                        </w:hyperlink>
                        <w:r>
                          <w:rPr>
                            <w:sz w:val="20"/>
                            <w:szCs w:val="20"/>
                          </w:rPr>
                          <w:t xml:space="preserve"> to search for additional Funding Opportunities</w:t>
                        </w:r>
                      </w:p>
                    </w:tc>
                  </w:tr>
                </w:tbl>
                <w:p w:rsidR="00932741" w:rsidRDefault="00932741" w:rsidP="001F5234">
                  <w:pPr>
                    <w:rPr>
                      <w:rFonts w:eastAsiaTheme="minorHAnsi" w:cstheme="minorBidi"/>
                    </w:rPr>
                  </w:pPr>
                </w:p>
              </w:txbxContent>
            </v:textbox>
          </v:shape>
        </w:pict>
      </w: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1F5234" w:rsidRDefault="001F5234" w:rsidP="00AB2A06">
      <w:pPr>
        <w:rPr>
          <w:b/>
          <w:sz w:val="28"/>
          <w:szCs w:val="28"/>
          <w:u w:val="single"/>
        </w:rPr>
      </w:pPr>
    </w:p>
    <w:p w:rsidR="0084443D" w:rsidRDefault="0084443D" w:rsidP="0098742A">
      <w:pPr>
        <w:rPr>
          <w:b/>
          <w:sz w:val="28"/>
          <w:szCs w:val="28"/>
          <w:u w:val="single"/>
        </w:rPr>
      </w:pPr>
      <w:bookmarkStart w:id="0" w:name="bus"/>
    </w:p>
    <w:p w:rsidR="0084443D" w:rsidRDefault="0084443D" w:rsidP="0098742A">
      <w:pPr>
        <w:rPr>
          <w:b/>
          <w:sz w:val="28"/>
          <w:szCs w:val="28"/>
          <w:u w:val="single"/>
        </w:rPr>
      </w:pPr>
    </w:p>
    <w:p w:rsidR="0084443D" w:rsidRDefault="0084443D" w:rsidP="0098742A">
      <w:pPr>
        <w:rPr>
          <w:b/>
          <w:sz w:val="28"/>
          <w:szCs w:val="28"/>
          <w:u w:val="single"/>
        </w:rPr>
      </w:pPr>
    </w:p>
    <w:p w:rsidR="0084443D" w:rsidRDefault="0084443D" w:rsidP="0098742A">
      <w:pPr>
        <w:rPr>
          <w:b/>
          <w:sz w:val="28"/>
          <w:szCs w:val="28"/>
          <w:u w:val="single"/>
        </w:rPr>
      </w:pPr>
    </w:p>
    <w:p w:rsidR="0084443D" w:rsidRDefault="0084443D" w:rsidP="0098742A">
      <w:pPr>
        <w:rPr>
          <w:b/>
          <w:sz w:val="28"/>
          <w:szCs w:val="28"/>
          <w:u w:val="single"/>
        </w:rPr>
      </w:pPr>
    </w:p>
    <w:p w:rsidR="00AB2A06" w:rsidRPr="006E448D" w:rsidRDefault="00AB2A06" w:rsidP="0098742A">
      <w:pPr>
        <w:rPr>
          <w:rFonts w:asciiTheme="minorHAnsi" w:hAnsiTheme="minorHAnsi"/>
          <w:b/>
          <w:sz w:val="28"/>
          <w:szCs w:val="28"/>
          <w:u w:val="single"/>
        </w:rPr>
      </w:pPr>
      <w:r w:rsidRPr="006E448D">
        <w:rPr>
          <w:rFonts w:asciiTheme="minorHAnsi" w:hAnsiTheme="minorHAnsi"/>
          <w:b/>
          <w:sz w:val="28"/>
          <w:szCs w:val="28"/>
          <w:u w:val="single"/>
        </w:rPr>
        <w:t>Business and Economics</w:t>
      </w:r>
    </w:p>
    <w:bookmarkEnd w:id="0"/>
    <w:p w:rsidR="00AB2A06" w:rsidRPr="006E448D" w:rsidRDefault="00AB2A06" w:rsidP="0098742A">
      <w:pPr>
        <w:pStyle w:val="PlainText"/>
        <w:pBdr>
          <w:bottom w:val="single" w:sz="6" w:space="1" w:color="auto"/>
        </w:pBdr>
        <w:rPr>
          <w:rFonts w:asciiTheme="minorHAnsi" w:hAnsiTheme="minorHAnsi"/>
          <w:sz w:val="20"/>
          <w:szCs w:val="20"/>
        </w:rPr>
      </w:pPr>
    </w:p>
    <w:p w:rsidR="00447FF3" w:rsidRPr="006E448D" w:rsidRDefault="00447FF3" w:rsidP="0098742A">
      <w:pPr>
        <w:pStyle w:val="PlainText"/>
        <w:pBdr>
          <w:bottom w:val="single" w:sz="6" w:space="1" w:color="auto"/>
        </w:pBdr>
        <w:rPr>
          <w:rFonts w:asciiTheme="minorHAnsi" w:hAnsiTheme="minorHAnsi"/>
        </w:rPr>
      </w:pPr>
      <w:r w:rsidRPr="006E448D">
        <w:rPr>
          <w:rFonts w:asciiTheme="minorHAnsi" w:eastAsia="Times New Roman" w:hAnsiTheme="minorHAnsi"/>
          <w:b/>
          <w:color w:val="333333"/>
          <w:sz w:val="22"/>
          <w:szCs w:val="22"/>
        </w:rPr>
        <w:t xml:space="preserve">Economics of Retirement (R01); United States Department of Health and Human Services (HHS), National Institutes of Health (NIH), National Institute on Aging (NIA): </w:t>
      </w:r>
      <w:r w:rsidRPr="006E448D">
        <w:rPr>
          <w:rFonts w:asciiTheme="minorHAnsi" w:eastAsia="Times New Roman" w:hAnsiTheme="minorHAnsi"/>
          <w:color w:val="333333"/>
          <w:sz w:val="22"/>
          <w:szCs w:val="22"/>
        </w:rPr>
        <w:t xml:space="preserve">supports </w:t>
      </w:r>
      <w:r w:rsidRPr="006E448D">
        <w:rPr>
          <w:rFonts w:asciiTheme="minorHAnsi" w:hAnsiTheme="minorHAnsi"/>
          <w:color w:val="222222"/>
          <w:sz w:val="22"/>
          <w:szCs w:val="22"/>
          <w:shd w:val="clear" w:color="auto" w:fill="FFFFFF"/>
        </w:rPr>
        <w:t>research on the economic and health-related factors that influence older persons' choices on labor force participation as they near typical retirement age and throughout the later stages of life.</w:t>
      </w:r>
      <w:r w:rsidRPr="006E448D">
        <w:rPr>
          <w:rStyle w:val="apple-converted-space"/>
          <w:rFonts w:asciiTheme="minorHAnsi" w:hAnsiTheme="minorHAnsi"/>
          <w:color w:val="222222"/>
          <w:sz w:val="22"/>
          <w:szCs w:val="22"/>
          <w:shd w:val="clear" w:color="auto" w:fill="FFFFFF"/>
        </w:rPr>
        <w:t> </w:t>
      </w:r>
      <w:r w:rsidRPr="006E448D">
        <w:rPr>
          <w:rFonts w:asciiTheme="minorHAnsi" w:hAnsiTheme="minorHAnsi"/>
          <w:color w:val="000000"/>
          <w:spacing w:val="3"/>
          <w:sz w:val="22"/>
          <w:szCs w:val="22"/>
          <w:shd w:val="clear" w:color="auto" w:fill="FFFFFF"/>
        </w:rPr>
        <w:t xml:space="preserve">Proposals are due February 5, 2014. For more information, visit </w:t>
      </w:r>
      <w:hyperlink r:id="rId16" w:history="1">
        <w:r w:rsidRPr="006E448D">
          <w:rPr>
            <w:rStyle w:val="Hyperlink"/>
            <w:rFonts w:asciiTheme="minorHAnsi" w:hAnsiTheme="minorHAnsi"/>
            <w:spacing w:val="3"/>
            <w:sz w:val="22"/>
            <w:szCs w:val="22"/>
            <w:shd w:val="clear" w:color="auto" w:fill="FFFFFF"/>
          </w:rPr>
          <w:t>PIVOT</w:t>
        </w:r>
      </w:hyperlink>
      <w:r w:rsidRPr="006E448D">
        <w:rPr>
          <w:rFonts w:asciiTheme="minorHAnsi" w:hAnsiTheme="minorHAnsi"/>
          <w:color w:val="000000"/>
          <w:spacing w:val="3"/>
          <w:sz w:val="22"/>
          <w:szCs w:val="22"/>
          <w:shd w:val="clear" w:color="auto" w:fill="FFFFFF"/>
        </w:rPr>
        <w:t xml:space="preserve">, </w:t>
      </w:r>
      <w:hyperlink r:id="rId17" w:history="1">
        <w:r w:rsidRPr="006E448D">
          <w:rPr>
            <w:rStyle w:val="Hyperlink"/>
            <w:rFonts w:asciiTheme="minorHAnsi" w:hAnsiTheme="minorHAnsi"/>
            <w:spacing w:val="3"/>
            <w:sz w:val="22"/>
            <w:szCs w:val="22"/>
            <w:shd w:val="clear" w:color="auto" w:fill="FFFFFF"/>
          </w:rPr>
          <w:t>NIH.gov</w:t>
        </w:r>
      </w:hyperlink>
    </w:p>
    <w:p w:rsidR="00AB2A06" w:rsidRPr="006E448D" w:rsidRDefault="00AB2A06" w:rsidP="0098742A">
      <w:pPr>
        <w:pStyle w:val="PlainText"/>
        <w:pBdr>
          <w:bottom w:val="single" w:sz="6" w:space="1" w:color="auto"/>
        </w:pBdr>
        <w:rPr>
          <w:rFonts w:asciiTheme="minorHAnsi" w:hAnsiTheme="minorHAnsi"/>
          <w:b/>
          <w:sz w:val="20"/>
          <w:szCs w:val="20"/>
          <w:u w:val="single"/>
        </w:rPr>
      </w:pPr>
      <w:bookmarkStart w:id="1" w:name="edu"/>
    </w:p>
    <w:p w:rsidR="00AB2A06" w:rsidRPr="006E448D" w:rsidRDefault="00AB2A06" w:rsidP="0098742A">
      <w:pPr>
        <w:pStyle w:val="PlainText"/>
        <w:rPr>
          <w:rFonts w:asciiTheme="minorHAnsi" w:hAnsiTheme="minorHAnsi"/>
          <w:b/>
          <w:sz w:val="20"/>
          <w:szCs w:val="20"/>
          <w:u w:val="single"/>
        </w:rPr>
      </w:pPr>
    </w:p>
    <w:p w:rsidR="00F84653" w:rsidRPr="006E448D" w:rsidRDefault="00F84653" w:rsidP="00F84653">
      <w:pPr>
        <w:pStyle w:val="PlainText"/>
        <w:pBdr>
          <w:bottom w:val="single" w:sz="6" w:space="1" w:color="auto"/>
        </w:pBdr>
        <w:rPr>
          <w:rFonts w:asciiTheme="minorHAnsi" w:hAnsiTheme="minorHAnsi"/>
        </w:rPr>
      </w:pPr>
      <w:r w:rsidRPr="006E448D">
        <w:rPr>
          <w:rFonts w:asciiTheme="minorHAnsi" w:eastAsia="Times New Roman" w:hAnsiTheme="minorHAnsi"/>
          <w:b/>
          <w:color w:val="333333"/>
          <w:sz w:val="22"/>
          <w:szCs w:val="22"/>
        </w:rPr>
        <w:t xml:space="preserve">Alcohol Marketing and Youth Drinking (R01); United States Department of Health and Human Services (HHS), National Institutes of Health (NIH), National Institute on Alcohol Abuse and Alcoholism (NIAAA): </w:t>
      </w:r>
      <w:r w:rsidRPr="006E448D">
        <w:rPr>
          <w:rFonts w:asciiTheme="minorHAnsi" w:hAnsiTheme="minorHAnsi"/>
          <w:sz w:val="22"/>
          <w:szCs w:val="22"/>
        </w:rPr>
        <w:t xml:space="preserve">supports research that </w:t>
      </w:r>
      <w:r w:rsidRPr="006E448D">
        <w:rPr>
          <w:rFonts w:asciiTheme="minorHAnsi" w:hAnsiTheme="minorHAnsi"/>
          <w:color w:val="000000"/>
          <w:spacing w:val="3"/>
          <w:sz w:val="22"/>
          <w:szCs w:val="22"/>
          <w:shd w:val="clear" w:color="auto" w:fill="FFFFFF"/>
        </w:rPr>
        <w:t xml:space="preserve">investigates the factors that mediate and moderate the impact of alcohol advertising and other alcohol promotions on youth drinking. Proposals are due February 5, 2014. For more information, visit </w:t>
      </w:r>
      <w:hyperlink r:id="rId18" w:history="1">
        <w:r w:rsidRPr="006E448D">
          <w:rPr>
            <w:rStyle w:val="Hyperlink"/>
            <w:rFonts w:asciiTheme="minorHAnsi" w:hAnsiTheme="minorHAnsi"/>
            <w:spacing w:val="3"/>
            <w:sz w:val="22"/>
            <w:szCs w:val="22"/>
            <w:shd w:val="clear" w:color="auto" w:fill="FFFFFF"/>
          </w:rPr>
          <w:t>PIVOT</w:t>
        </w:r>
      </w:hyperlink>
      <w:r w:rsidRPr="006E448D">
        <w:rPr>
          <w:rFonts w:asciiTheme="minorHAnsi" w:hAnsiTheme="minorHAnsi"/>
          <w:color w:val="000000"/>
          <w:spacing w:val="3"/>
          <w:sz w:val="22"/>
          <w:szCs w:val="22"/>
          <w:shd w:val="clear" w:color="auto" w:fill="FFFFFF"/>
        </w:rPr>
        <w:t xml:space="preserve">, </w:t>
      </w:r>
      <w:hyperlink r:id="rId19" w:history="1">
        <w:r w:rsidRPr="006E448D">
          <w:rPr>
            <w:rStyle w:val="Hyperlink"/>
            <w:rFonts w:asciiTheme="minorHAnsi" w:hAnsiTheme="minorHAnsi"/>
            <w:spacing w:val="3"/>
            <w:sz w:val="22"/>
            <w:szCs w:val="22"/>
            <w:shd w:val="clear" w:color="auto" w:fill="FFFFFF"/>
          </w:rPr>
          <w:t>NIH.gov</w:t>
        </w:r>
      </w:hyperlink>
    </w:p>
    <w:p w:rsidR="00F84653" w:rsidRPr="006E448D" w:rsidRDefault="00F84653" w:rsidP="00F84653">
      <w:pPr>
        <w:pStyle w:val="PlainText"/>
        <w:pBdr>
          <w:bottom w:val="single" w:sz="6" w:space="1" w:color="auto"/>
        </w:pBdr>
        <w:rPr>
          <w:rFonts w:asciiTheme="minorHAnsi" w:hAnsiTheme="minorHAnsi"/>
          <w:sz w:val="20"/>
          <w:szCs w:val="20"/>
        </w:rPr>
      </w:pPr>
    </w:p>
    <w:p w:rsidR="00F84653" w:rsidRPr="006E448D" w:rsidRDefault="00F84653" w:rsidP="0098742A">
      <w:pPr>
        <w:pStyle w:val="PlainText"/>
        <w:rPr>
          <w:rFonts w:asciiTheme="minorHAnsi" w:hAnsiTheme="minorHAnsi"/>
          <w:b/>
          <w:sz w:val="20"/>
          <w:szCs w:val="20"/>
          <w:u w:val="single"/>
        </w:rPr>
      </w:pPr>
    </w:p>
    <w:p w:rsidR="00A07D34" w:rsidRPr="006E448D" w:rsidRDefault="00A07D34" w:rsidP="00A07D34">
      <w:pPr>
        <w:pBdr>
          <w:bottom w:val="single" w:sz="6" w:space="1" w:color="auto"/>
        </w:pBdr>
        <w:rPr>
          <w:rFonts w:asciiTheme="minorHAnsi" w:hAnsiTheme="minorHAnsi"/>
        </w:rPr>
      </w:pPr>
      <w:r w:rsidRPr="006E448D">
        <w:rPr>
          <w:rStyle w:val="Strong"/>
          <w:rFonts w:asciiTheme="minorHAnsi" w:hAnsiTheme="minorHAnsi" w:cs="Arial"/>
        </w:rPr>
        <w:t xml:space="preserve">Department of Energy (DOE) Scholars Program; Department of Energy (DOE): </w:t>
      </w:r>
      <w:r w:rsidRPr="006E448D">
        <w:rPr>
          <w:rStyle w:val="Strong"/>
          <w:rFonts w:asciiTheme="minorHAnsi" w:hAnsiTheme="minorHAnsi" w:cs="Arial"/>
          <w:b w:val="0"/>
        </w:rPr>
        <w:t xml:space="preserve">supports </w:t>
      </w:r>
      <w:r w:rsidRPr="006E448D">
        <w:rPr>
          <w:rFonts w:asciiTheme="minorHAnsi" w:hAnsiTheme="minorHAnsi" w:cs="Arial"/>
        </w:rPr>
        <w:t xml:space="preserve">opportunities that introduce students or post-graduates to the agency’s mission and operations. Participants in the DOE Scholars Program gain a competitive edge as they apply their education, talent and skills in a variety of scientific research settings within the DOE complex. Appointments are available in a variety of disciplines at participating DOE facilities nationwide. Applications are due January 12, 2014. For more information, visit </w:t>
      </w:r>
      <w:hyperlink r:id="rId20" w:history="1">
        <w:r w:rsidRPr="006E448D">
          <w:rPr>
            <w:rStyle w:val="Hyperlink"/>
            <w:rFonts w:asciiTheme="minorHAnsi" w:hAnsiTheme="minorHAnsi"/>
          </w:rPr>
          <w:t>http://orise.orau.gov/doescholars/default.htm</w:t>
        </w:r>
      </w:hyperlink>
    </w:p>
    <w:p w:rsidR="00A07D34" w:rsidRPr="008E2DE4" w:rsidRDefault="00A07D34" w:rsidP="00A07D34">
      <w:pPr>
        <w:pBdr>
          <w:bottom w:val="single" w:sz="6" w:space="1" w:color="auto"/>
        </w:pBdr>
        <w:rPr>
          <w:rFonts w:asciiTheme="minorHAnsi" w:hAnsiTheme="minorHAnsi"/>
          <w:sz w:val="20"/>
          <w:szCs w:val="20"/>
        </w:rPr>
      </w:pPr>
    </w:p>
    <w:p w:rsidR="00F84653" w:rsidRPr="006E448D" w:rsidRDefault="00F84653" w:rsidP="0098742A">
      <w:pPr>
        <w:pStyle w:val="PlainText"/>
        <w:rPr>
          <w:rFonts w:asciiTheme="minorHAnsi" w:hAnsiTheme="minorHAnsi"/>
          <w:b/>
          <w:sz w:val="20"/>
          <w:szCs w:val="20"/>
          <w:u w:val="single"/>
        </w:rPr>
      </w:pPr>
    </w:p>
    <w:p w:rsidR="003B1AE8" w:rsidRPr="006E448D" w:rsidRDefault="00AB2A06" w:rsidP="003B1AE8">
      <w:pPr>
        <w:pStyle w:val="PlainText"/>
        <w:rPr>
          <w:rFonts w:asciiTheme="minorHAnsi" w:hAnsiTheme="minorHAnsi"/>
          <w:b/>
          <w:sz w:val="28"/>
          <w:szCs w:val="28"/>
          <w:u w:val="single"/>
        </w:rPr>
      </w:pPr>
      <w:bookmarkStart w:id="2" w:name="env"/>
      <w:bookmarkEnd w:id="1"/>
      <w:r w:rsidRPr="006E448D">
        <w:rPr>
          <w:rFonts w:asciiTheme="minorHAnsi" w:hAnsiTheme="minorHAnsi"/>
          <w:b/>
          <w:sz w:val="28"/>
          <w:szCs w:val="28"/>
          <w:u w:val="single"/>
        </w:rPr>
        <w:t>Environment</w:t>
      </w:r>
      <w:bookmarkEnd w:id="2"/>
    </w:p>
    <w:p w:rsidR="003B1AE8" w:rsidRPr="008E2DE4" w:rsidRDefault="003B1AE8" w:rsidP="003B1AE8">
      <w:pPr>
        <w:pStyle w:val="PlainText"/>
        <w:rPr>
          <w:rFonts w:asciiTheme="minorHAnsi" w:hAnsiTheme="minorHAnsi"/>
          <w:b/>
          <w:sz w:val="20"/>
          <w:szCs w:val="20"/>
          <w:u w:val="single"/>
        </w:rPr>
      </w:pPr>
    </w:p>
    <w:p w:rsidR="003B1AE8" w:rsidRPr="006E448D" w:rsidRDefault="002333DB" w:rsidP="003B1AE8">
      <w:pPr>
        <w:pStyle w:val="PlainText"/>
        <w:rPr>
          <w:rFonts w:asciiTheme="minorHAnsi" w:hAnsiTheme="minorHAnsi"/>
        </w:rPr>
      </w:pPr>
      <w:r w:rsidRPr="006E448D">
        <w:rPr>
          <w:rFonts w:asciiTheme="minorHAnsi" w:hAnsiTheme="minorHAnsi"/>
          <w:b/>
          <w:color w:val="363636"/>
          <w:shd w:val="clear" w:color="auto" w:fill="FFFFFF"/>
        </w:rPr>
        <w:t xml:space="preserve">11th Annual P3 Awards: A National Student Design Competition for Sustainability Focusing on People, Prosperity and the Planet; Environmental Protection Agency (EPA): </w:t>
      </w:r>
      <w:r w:rsidRPr="006E448D">
        <w:rPr>
          <w:rFonts w:asciiTheme="minorHAnsi" w:hAnsiTheme="minorHAnsi"/>
          <w:color w:val="363636"/>
          <w:shd w:val="clear" w:color="auto" w:fill="FFFFFF"/>
        </w:rPr>
        <w:t>seeks applications proposing to research, develop, and design solutions to real world challenges involving the overall sustainability of human society. The P3 competition highlights the use of scientific principles in creating innovative projects focused on sustainability.</w:t>
      </w:r>
      <w:r w:rsidRPr="006E448D">
        <w:rPr>
          <w:rStyle w:val="apple-converted-space"/>
          <w:rFonts w:asciiTheme="minorHAnsi" w:hAnsiTheme="minorHAnsi"/>
          <w:color w:val="363636"/>
          <w:shd w:val="clear" w:color="auto" w:fill="FFFFFF"/>
        </w:rPr>
        <w:t xml:space="preserve"> Proposals are due December 17, 2013. For more information, visit </w:t>
      </w:r>
      <w:hyperlink r:id="rId21" w:history="1">
        <w:r w:rsidRPr="006E448D">
          <w:rPr>
            <w:rStyle w:val="Hyperlink"/>
            <w:rFonts w:asciiTheme="minorHAnsi" w:hAnsiTheme="minorHAnsi"/>
            <w:shd w:val="clear" w:color="auto" w:fill="FFFFFF"/>
          </w:rPr>
          <w:t>EPA.gov</w:t>
        </w:r>
      </w:hyperlink>
    </w:p>
    <w:p w:rsidR="003B1AE8" w:rsidRPr="006E448D" w:rsidRDefault="003B1AE8" w:rsidP="0098742A">
      <w:pPr>
        <w:pStyle w:val="PlainText"/>
        <w:pBdr>
          <w:bottom w:val="single" w:sz="6" w:space="1" w:color="auto"/>
          <w:between w:val="single" w:sz="6" w:space="1" w:color="auto"/>
        </w:pBdr>
        <w:rPr>
          <w:rFonts w:asciiTheme="minorHAnsi" w:hAnsiTheme="minorHAnsi"/>
          <w:sz w:val="20"/>
          <w:szCs w:val="20"/>
        </w:rPr>
      </w:pPr>
    </w:p>
    <w:p w:rsidR="003B1AE8" w:rsidRPr="006E448D" w:rsidRDefault="003B1AE8" w:rsidP="0098742A">
      <w:pPr>
        <w:pStyle w:val="PlainText"/>
        <w:pBdr>
          <w:bottom w:val="single" w:sz="6" w:space="1" w:color="auto"/>
        </w:pBdr>
        <w:rPr>
          <w:rFonts w:asciiTheme="minorHAnsi" w:hAnsiTheme="minorHAnsi"/>
          <w:sz w:val="20"/>
          <w:szCs w:val="20"/>
        </w:rPr>
      </w:pPr>
    </w:p>
    <w:p w:rsidR="00A07D34" w:rsidRPr="006E448D" w:rsidRDefault="00A07D34" w:rsidP="00A07D34">
      <w:pPr>
        <w:pBdr>
          <w:bottom w:val="single" w:sz="6" w:space="1" w:color="auto"/>
        </w:pBdr>
        <w:rPr>
          <w:rFonts w:asciiTheme="minorHAnsi" w:hAnsiTheme="minorHAnsi"/>
        </w:rPr>
      </w:pPr>
      <w:bookmarkStart w:id="3" w:name="hea"/>
      <w:r w:rsidRPr="006E448D">
        <w:rPr>
          <w:rStyle w:val="Strong"/>
          <w:rFonts w:asciiTheme="minorHAnsi" w:hAnsiTheme="minorHAnsi" w:cs="Arial"/>
        </w:rPr>
        <w:t xml:space="preserve">Department of Energy (DOE) Scholars Program; Department of Energy (DOE): </w:t>
      </w:r>
      <w:r w:rsidRPr="006E448D">
        <w:rPr>
          <w:rStyle w:val="Strong"/>
          <w:rFonts w:asciiTheme="minorHAnsi" w:hAnsiTheme="minorHAnsi" w:cs="Arial"/>
          <w:b w:val="0"/>
        </w:rPr>
        <w:t xml:space="preserve">supports </w:t>
      </w:r>
      <w:r w:rsidRPr="006E448D">
        <w:rPr>
          <w:rFonts w:asciiTheme="minorHAnsi" w:hAnsiTheme="minorHAnsi" w:cs="Arial"/>
        </w:rPr>
        <w:t xml:space="preserve">opportunities that introduce students or post-graduates to the agency’s mission and operations. Participants in the DOE Scholars Program gain a competitive edge as they apply their education, talent and skills in a variety of scientific research settings within the DOE complex. Appointments are available in a variety of disciplines at participating DOE facilities nationwide. Applications are due January 12, 2014. For more information, visit </w:t>
      </w:r>
      <w:hyperlink r:id="rId22" w:history="1">
        <w:r w:rsidRPr="006E448D">
          <w:rPr>
            <w:rStyle w:val="Hyperlink"/>
            <w:rFonts w:asciiTheme="minorHAnsi" w:hAnsiTheme="minorHAnsi"/>
          </w:rPr>
          <w:t>http://orise.orau.gov/doescholars/default.htm</w:t>
        </w:r>
      </w:hyperlink>
    </w:p>
    <w:p w:rsidR="00A07D34" w:rsidRPr="006E448D" w:rsidRDefault="00A07D34" w:rsidP="00A07D34">
      <w:pPr>
        <w:pBdr>
          <w:bottom w:val="single" w:sz="6" w:space="1" w:color="auto"/>
        </w:pBdr>
        <w:rPr>
          <w:rFonts w:asciiTheme="minorHAnsi" w:hAnsiTheme="minorHAnsi"/>
          <w:sz w:val="20"/>
          <w:szCs w:val="20"/>
        </w:rPr>
      </w:pPr>
    </w:p>
    <w:p w:rsidR="00AB2A06" w:rsidRPr="006E448D" w:rsidRDefault="00AB2A06" w:rsidP="0098742A">
      <w:pPr>
        <w:pStyle w:val="PlainText"/>
        <w:rPr>
          <w:rFonts w:asciiTheme="minorHAnsi" w:hAnsiTheme="minorHAnsi" w:cs="Times New Roman"/>
          <w:sz w:val="20"/>
          <w:szCs w:val="20"/>
          <w:u w:val="single"/>
        </w:rPr>
      </w:pPr>
    </w:p>
    <w:p w:rsidR="00AB2A06" w:rsidRPr="006E448D" w:rsidRDefault="00AB2A06" w:rsidP="0098742A">
      <w:pPr>
        <w:pStyle w:val="PlainText"/>
        <w:rPr>
          <w:rFonts w:asciiTheme="minorHAnsi" w:hAnsiTheme="minorHAnsi" w:cs="Times New Roman"/>
          <w:b/>
          <w:sz w:val="28"/>
          <w:szCs w:val="28"/>
          <w:u w:val="single"/>
        </w:rPr>
      </w:pPr>
      <w:r w:rsidRPr="006E448D">
        <w:rPr>
          <w:rFonts w:asciiTheme="minorHAnsi" w:hAnsiTheme="minorHAnsi" w:cs="Times New Roman"/>
          <w:b/>
          <w:sz w:val="28"/>
          <w:szCs w:val="28"/>
          <w:u w:val="single"/>
        </w:rPr>
        <w:t>Health</w:t>
      </w:r>
    </w:p>
    <w:bookmarkEnd w:id="3"/>
    <w:p w:rsidR="007025BF" w:rsidRPr="006E448D" w:rsidRDefault="007025BF" w:rsidP="0098742A">
      <w:pPr>
        <w:pStyle w:val="PlainText"/>
        <w:pBdr>
          <w:bottom w:val="single" w:sz="6" w:space="1" w:color="auto"/>
        </w:pBdr>
        <w:rPr>
          <w:rFonts w:asciiTheme="minorHAnsi" w:hAnsiTheme="minorHAnsi"/>
          <w:sz w:val="20"/>
          <w:szCs w:val="20"/>
        </w:rPr>
      </w:pPr>
    </w:p>
    <w:p w:rsidR="00C87880" w:rsidRPr="006E448D" w:rsidRDefault="00C87880" w:rsidP="0098742A">
      <w:pPr>
        <w:pStyle w:val="PlainText"/>
        <w:pBdr>
          <w:bottom w:val="single" w:sz="6" w:space="1" w:color="auto"/>
        </w:pBdr>
        <w:rPr>
          <w:rFonts w:asciiTheme="minorHAnsi" w:hAnsiTheme="minorHAnsi"/>
        </w:rPr>
      </w:pPr>
      <w:r w:rsidRPr="006E448D">
        <w:rPr>
          <w:rFonts w:asciiTheme="minorHAnsi" w:eastAsia="Times New Roman" w:hAnsiTheme="minorHAnsi"/>
          <w:b/>
          <w:color w:val="333333"/>
          <w:sz w:val="22"/>
          <w:szCs w:val="22"/>
        </w:rPr>
        <w:lastRenderedPageBreak/>
        <w:t xml:space="preserve">Alcohol Marketing and Youth Drinking (R01); United States Department of Health and Human Services (HHS), National Institutes of Health (NIH), National Institute on Alcohol Abuse and Alcoholism (NIAAA): </w:t>
      </w:r>
      <w:r w:rsidRPr="006E448D">
        <w:rPr>
          <w:rFonts w:asciiTheme="minorHAnsi" w:hAnsiTheme="minorHAnsi"/>
          <w:sz w:val="22"/>
          <w:szCs w:val="22"/>
        </w:rPr>
        <w:t xml:space="preserve">supports research that </w:t>
      </w:r>
      <w:r w:rsidRPr="006E448D">
        <w:rPr>
          <w:rFonts w:asciiTheme="minorHAnsi" w:hAnsiTheme="minorHAnsi"/>
          <w:color w:val="000000"/>
          <w:spacing w:val="3"/>
          <w:sz w:val="22"/>
          <w:szCs w:val="22"/>
          <w:shd w:val="clear" w:color="auto" w:fill="FFFFFF"/>
        </w:rPr>
        <w:t>investigates the factors that mediate and moderate the impact of alcohol advertising and other alcohol promotions on youth drinking.</w:t>
      </w:r>
      <w:r w:rsidR="00350EE1" w:rsidRPr="006E448D">
        <w:rPr>
          <w:rFonts w:asciiTheme="minorHAnsi" w:hAnsiTheme="minorHAnsi"/>
          <w:color w:val="000000"/>
          <w:spacing w:val="3"/>
          <w:sz w:val="22"/>
          <w:szCs w:val="22"/>
          <w:shd w:val="clear" w:color="auto" w:fill="FFFFFF"/>
        </w:rPr>
        <w:t xml:space="preserve"> Proposals are due February 5, 2014. For more information, visit </w:t>
      </w:r>
      <w:hyperlink r:id="rId23" w:history="1">
        <w:r w:rsidR="00350EE1" w:rsidRPr="006E448D">
          <w:rPr>
            <w:rStyle w:val="Hyperlink"/>
            <w:rFonts w:asciiTheme="minorHAnsi" w:hAnsiTheme="minorHAnsi"/>
            <w:spacing w:val="3"/>
            <w:sz w:val="22"/>
            <w:szCs w:val="22"/>
            <w:shd w:val="clear" w:color="auto" w:fill="FFFFFF"/>
          </w:rPr>
          <w:t>PIVOT</w:t>
        </w:r>
      </w:hyperlink>
      <w:r w:rsidR="00350EE1" w:rsidRPr="006E448D">
        <w:rPr>
          <w:rFonts w:asciiTheme="minorHAnsi" w:hAnsiTheme="minorHAnsi"/>
          <w:color w:val="000000"/>
          <w:spacing w:val="3"/>
          <w:sz w:val="22"/>
          <w:szCs w:val="22"/>
          <w:shd w:val="clear" w:color="auto" w:fill="FFFFFF"/>
        </w:rPr>
        <w:t xml:space="preserve">, </w:t>
      </w:r>
      <w:hyperlink r:id="rId24" w:history="1">
        <w:r w:rsidR="00350EE1" w:rsidRPr="006E448D">
          <w:rPr>
            <w:rStyle w:val="Hyperlink"/>
            <w:rFonts w:asciiTheme="minorHAnsi" w:hAnsiTheme="minorHAnsi"/>
            <w:spacing w:val="3"/>
            <w:sz w:val="22"/>
            <w:szCs w:val="22"/>
            <w:shd w:val="clear" w:color="auto" w:fill="FFFFFF"/>
          </w:rPr>
          <w:t>NIH.gov</w:t>
        </w:r>
      </w:hyperlink>
    </w:p>
    <w:p w:rsidR="00C87880" w:rsidRPr="006E448D" w:rsidRDefault="00C87880" w:rsidP="0098742A">
      <w:pPr>
        <w:pStyle w:val="PlainText"/>
        <w:pBdr>
          <w:bottom w:val="single" w:sz="6" w:space="1" w:color="auto"/>
        </w:pBdr>
        <w:rPr>
          <w:rFonts w:asciiTheme="minorHAnsi" w:hAnsiTheme="minorHAnsi"/>
          <w:sz w:val="20"/>
          <w:szCs w:val="20"/>
        </w:rPr>
      </w:pPr>
    </w:p>
    <w:p w:rsidR="00AB2A06" w:rsidRPr="006E448D" w:rsidRDefault="00AB2A06" w:rsidP="0098742A">
      <w:pPr>
        <w:pStyle w:val="PlainText"/>
        <w:rPr>
          <w:rFonts w:asciiTheme="minorHAnsi" w:hAnsiTheme="minorHAnsi" w:cs="Times New Roman"/>
          <w:sz w:val="20"/>
          <w:szCs w:val="20"/>
        </w:rPr>
      </w:pPr>
    </w:p>
    <w:p w:rsidR="00447FF3" w:rsidRPr="006E448D" w:rsidRDefault="00447FF3" w:rsidP="0098742A">
      <w:pPr>
        <w:pStyle w:val="PlainText"/>
        <w:pBdr>
          <w:bottom w:val="single" w:sz="6" w:space="1" w:color="auto"/>
        </w:pBdr>
        <w:rPr>
          <w:rFonts w:asciiTheme="minorHAnsi" w:hAnsiTheme="minorHAnsi"/>
        </w:rPr>
      </w:pPr>
      <w:r w:rsidRPr="006E448D">
        <w:rPr>
          <w:rFonts w:asciiTheme="minorHAnsi" w:eastAsia="Times New Roman" w:hAnsiTheme="minorHAnsi"/>
          <w:b/>
          <w:color w:val="333333"/>
          <w:sz w:val="22"/>
          <w:szCs w:val="22"/>
        </w:rPr>
        <w:t xml:space="preserve">Economics of Retirement (R01); United States Department of Health and Human Services (HHS), National Institutes of Health (NIH), National Institute on Aging (NIA): </w:t>
      </w:r>
      <w:r w:rsidRPr="006E448D">
        <w:rPr>
          <w:rFonts w:asciiTheme="minorHAnsi" w:eastAsia="Times New Roman" w:hAnsiTheme="minorHAnsi"/>
          <w:color w:val="333333"/>
          <w:sz w:val="22"/>
          <w:szCs w:val="22"/>
        </w:rPr>
        <w:t xml:space="preserve">supports </w:t>
      </w:r>
      <w:r w:rsidRPr="006E448D">
        <w:rPr>
          <w:rFonts w:asciiTheme="minorHAnsi" w:hAnsiTheme="minorHAnsi"/>
          <w:color w:val="222222"/>
          <w:sz w:val="22"/>
          <w:szCs w:val="22"/>
          <w:shd w:val="clear" w:color="auto" w:fill="FFFFFF"/>
        </w:rPr>
        <w:t>research on the economic and health-related factors that influence older persons' choices on labor force participation as they near typical retirement age and throughout the later stages of life.</w:t>
      </w:r>
      <w:r w:rsidRPr="006E448D">
        <w:rPr>
          <w:rStyle w:val="apple-converted-space"/>
          <w:rFonts w:asciiTheme="minorHAnsi" w:hAnsiTheme="minorHAnsi"/>
          <w:color w:val="222222"/>
          <w:sz w:val="22"/>
          <w:szCs w:val="22"/>
          <w:shd w:val="clear" w:color="auto" w:fill="FFFFFF"/>
        </w:rPr>
        <w:t> </w:t>
      </w:r>
      <w:r w:rsidRPr="006E448D">
        <w:rPr>
          <w:rFonts w:asciiTheme="minorHAnsi" w:hAnsiTheme="minorHAnsi"/>
          <w:color w:val="000000"/>
          <w:spacing w:val="3"/>
          <w:sz w:val="22"/>
          <w:szCs w:val="22"/>
          <w:shd w:val="clear" w:color="auto" w:fill="FFFFFF"/>
        </w:rPr>
        <w:t xml:space="preserve">Proposals are due February 5, 2014. For more information, visit </w:t>
      </w:r>
      <w:hyperlink r:id="rId25" w:history="1">
        <w:r w:rsidRPr="006E448D">
          <w:rPr>
            <w:rStyle w:val="Hyperlink"/>
            <w:rFonts w:asciiTheme="minorHAnsi" w:hAnsiTheme="minorHAnsi"/>
            <w:spacing w:val="3"/>
            <w:sz w:val="22"/>
            <w:szCs w:val="22"/>
            <w:shd w:val="clear" w:color="auto" w:fill="FFFFFF"/>
          </w:rPr>
          <w:t>PIVOT</w:t>
        </w:r>
      </w:hyperlink>
      <w:r w:rsidRPr="006E448D">
        <w:rPr>
          <w:rFonts w:asciiTheme="minorHAnsi" w:hAnsiTheme="minorHAnsi"/>
          <w:color w:val="000000"/>
          <w:spacing w:val="3"/>
          <w:sz w:val="22"/>
          <w:szCs w:val="22"/>
          <w:shd w:val="clear" w:color="auto" w:fill="FFFFFF"/>
        </w:rPr>
        <w:t xml:space="preserve">, </w:t>
      </w:r>
      <w:hyperlink r:id="rId26" w:history="1">
        <w:r w:rsidRPr="006E448D">
          <w:rPr>
            <w:rStyle w:val="Hyperlink"/>
            <w:rFonts w:asciiTheme="minorHAnsi" w:hAnsiTheme="minorHAnsi"/>
            <w:spacing w:val="3"/>
            <w:sz w:val="22"/>
            <w:szCs w:val="22"/>
            <w:shd w:val="clear" w:color="auto" w:fill="FFFFFF"/>
          </w:rPr>
          <w:t>NIH.gov</w:t>
        </w:r>
      </w:hyperlink>
    </w:p>
    <w:p w:rsidR="00447FF3" w:rsidRPr="006E448D" w:rsidRDefault="00447FF3" w:rsidP="0098742A">
      <w:pPr>
        <w:pStyle w:val="PlainText"/>
        <w:pBdr>
          <w:bottom w:val="single" w:sz="6" w:space="1" w:color="auto"/>
        </w:pBdr>
        <w:rPr>
          <w:rFonts w:asciiTheme="minorHAnsi" w:hAnsiTheme="minorHAnsi"/>
          <w:sz w:val="20"/>
          <w:szCs w:val="20"/>
        </w:rPr>
      </w:pPr>
    </w:p>
    <w:p w:rsidR="00447FF3" w:rsidRPr="008E2DE4" w:rsidRDefault="00447FF3" w:rsidP="0098742A">
      <w:pPr>
        <w:pStyle w:val="PlainText"/>
        <w:rPr>
          <w:rFonts w:asciiTheme="minorHAnsi" w:eastAsia="Times New Roman" w:hAnsiTheme="minorHAnsi"/>
          <w:color w:val="333333"/>
          <w:sz w:val="20"/>
          <w:szCs w:val="20"/>
        </w:rPr>
      </w:pPr>
    </w:p>
    <w:p w:rsidR="002109D9" w:rsidRPr="006E448D" w:rsidRDefault="002109D9" w:rsidP="0098742A">
      <w:pPr>
        <w:pStyle w:val="PlainText"/>
        <w:pBdr>
          <w:bottom w:val="single" w:sz="6" w:space="1" w:color="auto"/>
        </w:pBdr>
        <w:rPr>
          <w:rFonts w:asciiTheme="minorHAnsi" w:hAnsiTheme="minorHAnsi"/>
          <w:color w:val="000000"/>
          <w:spacing w:val="3"/>
          <w:sz w:val="22"/>
          <w:szCs w:val="22"/>
          <w:shd w:val="clear" w:color="auto" w:fill="FFFFFF"/>
        </w:rPr>
      </w:pPr>
      <w:r w:rsidRPr="006E448D">
        <w:rPr>
          <w:rFonts w:asciiTheme="minorHAnsi" w:eastAsia="Times New Roman" w:hAnsiTheme="minorHAnsi"/>
          <w:b/>
          <w:color w:val="333333"/>
          <w:sz w:val="22"/>
          <w:szCs w:val="22"/>
        </w:rPr>
        <w:t xml:space="preserve">Improving Diet and Physical Activity Assessment (R01); United States Department of Health and Human Services (HHS), National Institutes of Health (NIH): </w:t>
      </w:r>
      <w:r w:rsidRPr="006E448D">
        <w:rPr>
          <w:rFonts w:asciiTheme="minorHAnsi" w:eastAsia="Times New Roman" w:hAnsiTheme="minorHAnsi"/>
          <w:color w:val="333333"/>
          <w:sz w:val="22"/>
          <w:szCs w:val="22"/>
        </w:rPr>
        <w:t xml:space="preserve">supports </w:t>
      </w:r>
      <w:r w:rsidRPr="006E448D">
        <w:rPr>
          <w:rFonts w:asciiTheme="minorHAnsi" w:hAnsiTheme="minorHAnsi"/>
          <w:color w:val="222222"/>
          <w:sz w:val="22"/>
          <w:szCs w:val="22"/>
          <w:shd w:val="clear" w:color="auto" w:fill="FFFFFF"/>
        </w:rPr>
        <w:t>research to enhance the quality of measurements of dietary intake and physical activity. Applications may include development of: Novel assessment approaches;</w:t>
      </w:r>
      <w:r w:rsidRPr="006E448D">
        <w:rPr>
          <w:rStyle w:val="apple-converted-space"/>
          <w:rFonts w:asciiTheme="minorHAnsi" w:hAnsiTheme="minorHAnsi"/>
          <w:color w:val="222222"/>
          <w:sz w:val="22"/>
          <w:szCs w:val="22"/>
          <w:shd w:val="clear" w:color="auto" w:fill="FFFFFF"/>
        </w:rPr>
        <w:t> </w:t>
      </w:r>
      <w:r w:rsidRPr="006E448D">
        <w:rPr>
          <w:rStyle w:val="details"/>
          <w:rFonts w:asciiTheme="minorHAnsi" w:hAnsiTheme="minorHAnsi"/>
          <w:color w:val="222222"/>
          <w:sz w:val="22"/>
          <w:szCs w:val="22"/>
          <w:shd w:val="clear" w:color="auto" w:fill="FFFFFF"/>
        </w:rPr>
        <w:t>better methods to evaluate instruments; assessment tools for culturally diverse populations or various age groups, improved technology or applications of existing technology;</w:t>
      </w:r>
      <w:r w:rsidR="00152F7C" w:rsidRPr="006E448D">
        <w:rPr>
          <w:rStyle w:val="details"/>
          <w:rFonts w:asciiTheme="minorHAnsi" w:hAnsiTheme="minorHAnsi"/>
          <w:color w:val="222222"/>
          <w:sz w:val="22"/>
          <w:szCs w:val="22"/>
          <w:shd w:val="clear" w:color="auto" w:fill="FFFFFF"/>
        </w:rPr>
        <w:t xml:space="preserve"> and</w:t>
      </w:r>
      <w:r w:rsidRPr="006E448D">
        <w:rPr>
          <w:rStyle w:val="details"/>
          <w:rFonts w:asciiTheme="minorHAnsi" w:hAnsiTheme="minorHAnsi"/>
          <w:color w:val="222222"/>
          <w:sz w:val="22"/>
          <w:szCs w:val="22"/>
          <w:shd w:val="clear" w:color="auto" w:fill="FFFFFF"/>
        </w:rPr>
        <w:t xml:space="preserve"> statistical methods to assess or correct for measurement errors or biases</w:t>
      </w:r>
      <w:r w:rsidR="00152F7C" w:rsidRPr="006E448D">
        <w:rPr>
          <w:rStyle w:val="details"/>
          <w:rFonts w:asciiTheme="minorHAnsi" w:hAnsiTheme="minorHAnsi"/>
          <w:color w:val="222222"/>
          <w:sz w:val="22"/>
          <w:szCs w:val="22"/>
          <w:shd w:val="clear" w:color="auto" w:fill="FFFFFF"/>
        </w:rPr>
        <w:t xml:space="preserve">. </w:t>
      </w:r>
      <w:r w:rsidRPr="006E448D">
        <w:rPr>
          <w:rFonts w:asciiTheme="minorHAnsi" w:hAnsiTheme="minorHAnsi"/>
          <w:color w:val="000000"/>
          <w:spacing w:val="3"/>
          <w:sz w:val="22"/>
          <w:szCs w:val="22"/>
          <w:shd w:val="clear" w:color="auto" w:fill="FFFFFF"/>
        </w:rPr>
        <w:t xml:space="preserve">Proposals are due February 5, 2014. For more information, visit </w:t>
      </w:r>
      <w:hyperlink r:id="rId27" w:history="1">
        <w:r w:rsidRPr="006E448D">
          <w:rPr>
            <w:rStyle w:val="Hyperlink"/>
            <w:rFonts w:asciiTheme="minorHAnsi" w:hAnsiTheme="minorHAnsi"/>
            <w:spacing w:val="3"/>
            <w:sz w:val="22"/>
            <w:szCs w:val="22"/>
            <w:shd w:val="clear" w:color="auto" w:fill="FFFFFF"/>
          </w:rPr>
          <w:t>PIVOT</w:t>
        </w:r>
      </w:hyperlink>
      <w:r w:rsidRPr="006E448D">
        <w:rPr>
          <w:rFonts w:asciiTheme="minorHAnsi" w:hAnsiTheme="minorHAnsi"/>
          <w:color w:val="000000"/>
          <w:spacing w:val="3"/>
          <w:sz w:val="22"/>
          <w:szCs w:val="22"/>
          <w:shd w:val="clear" w:color="auto" w:fill="FFFFFF"/>
        </w:rPr>
        <w:t xml:space="preserve"> </w:t>
      </w:r>
      <w:hyperlink r:id="rId28" w:history="1">
        <w:r w:rsidRPr="006E448D">
          <w:rPr>
            <w:rStyle w:val="Hyperlink"/>
            <w:rFonts w:asciiTheme="minorHAnsi" w:hAnsiTheme="minorHAnsi"/>
            <w:spacing w:val="3"/>
            <w:sz w:val="22"/>
            <w:szCs w:val="22"/>
            <w:shd w:val="clear" w:color="auto" w:fill="FFFFFF"/>
          </w:rPr>
          <w:t>NIH.gov</w:t>
        </w:r>
      </w:hyperlink>
    </w:p>
    <w:p w:rsidR="002109D9" w:rsidRPr="006E448D" w:rsidRDefault="002109D9" w:rsidP="0098742A">
      <w:pPr>
        <w:pStyle w:val="PlainText"/>
        <w:pBdr>
          <w:bottom w:val="single" w:sz="6" w:space="1" w:color="auto"/>
        </w:pBdr>
        <w:rPr>
          <w:rFonts w:asciiTheme="minorHAnsi" w:hAnsiTheme="minorHAnsi"/>
          <w:color w:val="000000"/>
          <w:spacing w:val="3"/>
          <w:sz w:val="20"/>
          <w:szCs w:val="20"/>
          <w:shd w:val="clear" w:color="auto" w:fill="FFFFFF"/>
        </w:rPr>
      </w:pPr>
    </w:p>
    <w:p w:rsidR="00447FF3" w:rsidRPr="006E448D" w:rsidRDefault="00447FF3" w:rsidP="0098742A">
      <w:pPr>
        <w:pStyle w:val="PlainText"/>
        <w:rPr>
          <w:rFonts w:asciiTheme="minorHAnsi" w:hAnsiTheme="minorHAnsi" w:cs="Times New Roman"/>
          <w:sz w:val="20"/>
          <w:szCs w:val="20"/>
        </w:rPr>
      </w:pPr>
    </w:p>
    <w:p w:rsidR="00391445" w:rsidRPr="006E448D" w:rsidRDefault="00391445" w:rsidP="0098742A">
      <w:pPr>
        <w:pStyle w:val="PlainText"/>
        <w:pBdr>
          <w:bottom w:val="single" w:sz="6" w:space="1" w:color="auto"/>
        </w:pBdr>
        <w:rPr>
          <w:rFonts w:asciiTheme="minorHAnsi" w:hAnsiTheme="minorHAnsi"/>
          <w:color w:val="000000"/>
          <w:spacing w:val="3"/>
          <w:sz w:val="22"/>
          <w:szCs w:val="22"/>
          <w:shd w:val="clear" w:color="auto" w:fill="FFFFFF"/>
        </w:rPr>
      </w:pPr>
      <w:r w:rsidRPr="006E448D">
        <w:rPr>
          <w:rFonts w:asciiTheme="minorHAnsi" w:eastAsia="Times New Roman" w:hAnsiTheme="minorHAnsi"/>
          <w:b/>
          <w:color w:val="333333"/>
          <w:sz w:val="22"/>
          <w:szCs w:val="22"/>
        </w:rPr>
        <w:t>Healthy Habits: Timing for Developing Sustainable Healthy Behaviors in Children and Adolescents (R01); United States Department of Health and Human Services (HHS), National Institutes of Health (NIH):</w:t>
      </w:r>
      <w:r w:rsidRPr="006E448D">
        <w:rPr>
          <w:rFonts w:asciiTheme="minorHAnsi" w:eastAsia="Times New Roman" w:hAnsiTheme="minorHAnsi"/>
          <w:color w:val="333333"/>
          <w:sz w:val="22"/>
          <w:szCs w:val="22"/>
        </w:rPr>
        <w:t xml:space="preserve"> supports </w:t>
      </w:r>
      <w:r w:rsidRPr="006E448D">
        <w:rPr>
          <w:rFonts w:asciiTheme="minorHAnsi" w:hAnsiTheme="minorHAnsi"/>
          <w:color w:val="222222"/>
          <w:sz w:val="22"/>
          <w:szCs w:val="22"/>
          <w:shd w:val="clear" w:color="auto" w:fill="FFFFFF"/>
        </w:rPr>
        <w:t>research to identify mechanisms of influence and/or promote positive sustainable health behavior(s) in children and youth (birth</w:t>
      </w:r>
      <w:r w:rsidRPr="006E448D">
        <w:rPr>
          <w:rStyle w:val="apple-converted-space"/>
          <w:rFonts w:asciiTheme="minorHAnsi" w:hAnsiTheme="minorHAnsi"/>
          <w:color w:val="222222"/>
          <w:sz w:val="22"/>
          <w:szCs w:val="22"/>
          <w:shd w:val="clear" w:color="auto" w:fill="FFFFFF"/>
        </w:rPr>
        <w:t> </w:t>
      </w:r>
      <w:r w:rsidRPr="006E448D">
        <w:rPr>
          <w:rStyle w:val="details"/>
          <w:rFonts w:asciiTheme="minorHAnsi" w:hAnsiTheme="minorHAnsi"/>
          <w:color w:val="222222"/>
          <w:sz w:val="22"/>
          <w:szCs w:val="22"/>
          <w:shd w:val="clear" w:color="auto" w:fill="FFFFFF"/>
        </w:rPr>
        <w:t>to age 18). Positive health behaviors may include - developing healthy sleep patterns, - developing effective self-regulation strategies, - adaptive decision-making in risk situations, - practicing proper dental hygiene, - eating a balanced and nutritious diet, - engaging in age-appropriate physical activity, and/or - participating in healthy relationships.</w:t>
      </w:r>
      <w:r w:rsidRPr="006E448D">
        <w:rPr>
          <w:rStyle w:val="apple-converted-space"/>
          <w:rFonts w:asciiTheme="minorHAnsi" w:hAnsiTheme="minorHAnsi"/>
          <w:color w:val="222222"/>
          <w:sz w:val="22"/>
          <w:szCs w:val="22"/>
          <w:shd w:val="clear" w:color="auto" w:fill="FFFFFF"/>
        </w:rPr>
        <w:t> </w:t>
      </w:r>
      <w:r w:rsidRPr="006E448D">
        <w:rPr>
          <w:rFonts w:asciiTheme="minorHAnsi" w:hAnsiTheme="minorHAnsi"/>
          <w:color w:val="000000"/>
          <w:spacing w:val="3"/>
          <w:sz w:val="22"/>
          <w:szCs w:val="22"/>
          <w:shd w:val="clear" w:color="auto" w:fill="FFFFFF"/>
        </w:rPr>
        <w:t xml:space="preserve">Proposals are due February 5, 2014. For more information, visit </w:t>
      </w:r>
      <w:hyperlink r:id="rId29" w:history="1">
        <w:r w:rsidRPr="006E448D">
          <w:rPr>
            <w:rStyle w:val="Hyperlink"/>
            <w:rFonts w:asciiTheme="minorHAnsi" w:hAnsiTheme="minorHAnsi"/>
            <w:spacing w:val="3"/>
            <w:sz w:val="22"/>
            <w:szCs w:val="22"/>
            <w:shd w:val="clear" w:color="auto" w:fill="FFFFFF"/>
          </w:rPr>
          <w:t>PIVOT</w:t>
        </w:r>
      </w:hyperlink>
      <w:r w:rsidRPr="006E448D">
        <w:rPr>
          <w:rFonts w:asciiTheme="minorHAnsi" w:hAnsiTheme="minorHAnsi"/>
          <w:color w:val="000000"/>
          <w:spacing w:val="3"/>
          <w:sz w:val="22"/>
          <w:szCs w:val="22"/>
          <w:shd w:val="clear" w:color="auto" w:fill="FFFFFF"/>
        </w:rPr>
        <w:t xml:space="preserve"> </w:t>
      </w:r>
      <w:hyperlink r:id="rId30" w:history="1">
        <w:r w:rsidRPr="006E448D">
          <w:rPr>
            <w:rStyle w:val="Hyperlink"/>
            <w:rFonts w:asciiTheme="minorHAnsi" w:hAnsiTheme="minorHAnsi"/>
            <w:spacing w:val="3"/>
            <w:sz w:val="22"/>
            <w:szCs w:val="22"/>
            <w:shd w:val="clear" w:color="auto" w:fill="FFFFFF"/>
          </w:rPr>
          <w:t>NIH.gov</w:t>
        </w:r>
      </w:hyperlink>
    </w:p>
    <w:p w:rsidR="008F277B" w:rsidRPr="006E448D" w:rsidRDefault="008F277B" w:rsidP="0098742A">
      <w:pPr>
        <w:pStyle w:val="PlainText"/>
        <w:pBdr>
          <w:bottom w:val="single" w:sz="6" w:space="1" w:color="auto"/>
        </w:pBdr>
        <w:rPr>
          <w:rFonts w:asciiTheme="minorHAnsi" w:eastAsia="Times New Roman" w:hAnsiTheme="minorHAnsi"/>
          <w:color w:val="333333"/>
          <w:sz w:val="20"/>
          <w:szCs w:val="20"/>
        </w:rPr>
      </w:pPr>
    </w:p>
    <w:p w:rsidR="008F277B" w:rsidRPr="006E448D" w:rsidRDefault="008F277B" w:rsidP="0098742A">
      <w:pPr>
        <w:pStyle w:val="PlainText"/>
        <w:rPr>
          <w:rFonts w:asciiTheme="minorHAnsi" w:hAnsiTheme="minorHAnsi" w:cs="Times New Roman"/>
          <w:sz w:val="20"/>
          <w:szCs w:val="20"/>
        </w:rPr>
      </w:pPr>
    </w:p>
    <w:p w:rsidR="00AB2A06" w:rsidRPr="006E448D" w:rsidRDefault="00AB2A06" w:rsidP="0098742A">
      <w:pPr>
        <w:rPr>
          <w:rFonts w:asciiTheme="minorHAnsi" w:hAnsiTheme="minorHAnsi"/>
          <w:b/>
          <w:sz w:val="28"/>
          <w:szCs w:val="28"/>
          <w:u w:val="single"/>
        </w:rPr>
      </w:pPr>
      <w:bookmarkStart w:id="4" w:name="hum"/>
      <w:r w:rsidRPr="006E448D">
        <w:rPr>
          <w:rFonts w:asciiTheme="minorHAnsi" w:hAnsiTheme="minorHAnsi"/>
          <w:b/>
          <w:sz w:val="28"/>
          <w:szCs w:val="28"/>
          <w:u w:val="single"/>
        </w:rPr>
        <w:t>Humanities and Language</w:t>
      </w:r>
    </w:p>
    <w:bookmarkEnd w:id="4"/>
    <w:p w:rsidR="007E551F" w:rsidRPr="006E448D" w:rsidRDefault="007E551F" w:rsidP="00932741">
      <w:pPr>
        <w:pStyle w:val="PlainText"/>
        <w:rPr>
          <w:rFonts w:asciiTheme="minorHAnsi" w:hAnsiTheme="minorHAnsi"/>
          <w:sz w:val="20"/>
          <w:szCs w:val="20"/>
        </w:rPr>
      </w:pPr>
    </w:p>
    <w:p w:rsidR="00AB2A06" w:rsidRPr="006E448D" w:rsidRDefault="007519B1" w:rsidP="00932741">
      <w:pPr>
        <w:pStyle w:val="PlainText"/>
        <w:rPr>
          <w:rFonts w:asciiTheme="minorHAnsi" w:hAnsiTheme="minorHAnsi"/>
          <w:sz w:val="22"/>
          <w:szCs w:val="22"/>
        </w:rPr>
      </w:pPr>
      <w:r w:rsidRPr="006E448D">
        <w:rPr>
          <w:rFonts w:asciiTheme="minorHAnsi" w:hAnsiTheme="minorHAnsi"/>
          <w:b/>
          <w:sz w:val="22"/>
          <w:szCs w:val="22"/>
        </w:rPr>
        <w:t xml:space="preserve">National Leadership Grants for Libraries; Institute of Museum and Library Services (IMLS): </w:t>
      </w:r>
      <w:r w:rsidRPr="006E448D">
        <w:rPr>
          <w:rFonts w:asciiTheme="minorHAnsi" w:hAnsiTheme="minorHAnsi"/>
          <w:sz w:val="22"/>
          <w:szCs w:val="22"/>
        </w:rPr>
        <w:t xml:space="preserve">seeks applications proposing projects that address challenges faced by the museum, library, and/or archive fields and that have the potential to advance practice in those fields. Three main categories are: Advancing Digital Resources, Research, and Demonstration. Collaboration with community organizations is encouraged. Applications are due February 3, 2014. For more information, visit </w:t>
      </w:r>
      <w:hyperlink r:id="rId31" w:history="1">
        <w:r w:rsidRPr="006E448D">
          <w:rPr>
            <w:rStyle w:val="Hyperlink"/>
            <w:rFonts w:asciiTheme="minorHAnsi" w:hAnsiTheme="minorHAnsi"/>
            <w:sz w:val="22"/>
            <w:szCs w:val="22"/>
          </w:rPr>
          <w:t>Solicitation</w:t>
        </w:r>
      </w:hyperlink>
      <w:r w:rsidRPr="006E448D">
        <w:rPr>
          <w:rFonts w:asciiTheme="minorHAnsi" w:hAnsiTheme="minorHAnsi"/>
          <w:sz w:val="22"/>
          <w:szCs w:val="22"/>
        </w:rPr>
        <w:t xml:space="preserve">, </w:t>
      </w:r>
      <w:hyperlink r:id="rId32" w:history="1">
        <w:r w:rsidRPr="006E448D">
          <w:rPr>
            <w:rStyle w:val="Hyperlink"/>
            <w:rFonts w:asciiTheme="minorHAnsi" w:hAnsiTheme="minorHAnsi"/>
            <w:sz w:val="22"/>
            <w:szCs w:val="22"/>
          </w:rPr>
          <w:t>Grants.gov</w:t>
        </w:r>
      </w:hyperlink>
    </w:p>
    <w:p w:rsidR="00932741" w:rsidRPr="006E448D" w:rsidRDefault="00932741" w:rsidP="00932741">
      <w:pPr>
        <w:pStyle w:val="PlainText"/>
        <w:rPr>
          <w:rFonts w:asciiTheme="minorHAnsi" w:hAnsiTheme="minorHAnsi"/>
          <w:sz w:val="20"/>
          <w:szCs w:val="20"/>
        </w:rPr>
      </w:pPr>
    </w:p>
    <w:p w:rsidR="00932741" w:rsidRPr="006E448D" w:rsidRDefault="00932741" w:rsidP="00932741">
      <w:pPr>
        <w:pStyle w:val="PlainText"/>
        <w:pBdr>
          <w:top w:val="single" w:sz="6" w:space="1" w:color="auto"/>
          <w:bottom w:val="single" w:sz="6" w:space="1" w:color="auto"/>
        </w:pBdr>
        <w:rPr>
          <w:rFonts w:asciiTheme="minorHAnsi" w:hAnsiTheme="minorHAnsi"/>
          <w:sz w:val="20"/>
          <w:szCs w:val="20"/>
        </w:rPr>
      </w:pPr>
    </w:p>
    <w:p w:rsidR="00AB2A06" w:rsidRPr="006E448D" w:rsidRDefault="00AB2A06" w:rsidP="0098742A">
      <w:pPr>
        <w:pBdr>
          <w:top w:val="single" w:sz="6" w:space="1" w:color="auto"/>
          <w:bottom w:val="single" w:sz="6" w:space="1" w:color="auto"/>
        </w:pBdr>
        <w:rPr>
          <w:rFonts w:asciiTheme="minorHAnsi" w:hAnsiTheme="minorHAnsi"/>
          <w:b/>
          <w:sz w:val="28"/>
          <w:szCs w:val="28"/>
          <w:u w:val="single"/>
        </w:rPr>
      </w:pPr>
      <w:bookmarkStart w:id="5" w:name="lib"/>
      <w:r w:rsidRPr="006E448D">
        <w:rPr>
          <w:rFonts w:asciiTheme="minorHAnsi" w:hAnsiTheme="minorHAnsi"/>
          <w:b/>
          <w:sz w:val="28"/>
          <w:szCs w:val="28"/>
          <w:u w:val="single"/>
        </w:rPr>
        <w:t>Library and Museum</w:t>
      </w:r>
    </w:p>
    <w:bookmarkEnd w:id="5"/>
    <w:p w:rsidR="00AB2A06" w:rsidRPr="006E448D" w:rsidRDefault="00AB2A06" w:rsidP="0098742A">
      <w:pPr>
        <w:pBdr>
          <w:top w:val="single" w:sz="6" w:space="1" w:color="auto"/>
          <w:bottom w:val="single" w:sz="6" w:space="1" w:color="auto"/>
        </w:pBdr>
        <w:rPr>
          <w:rFonts w:asciiTheme="minorHAnsi" w:hAnsiTheme="minorHAnsi"/>
          <w:b/>
          <w:sz w:val="20"/>
          <w:szCs w:val="20"/>
        </w:rPr>
      </w:pPr>
    </w:p>
    <w:p w:rsidR="00D40D23" w:rsidRDefault="001B1DC2" w:rsidP="0098742A">
      <w:pPr>
        <w:pBdr>
          <w:top w:val="single" w:sz="6" w:space="1" w:color="auto"/>
          <w:bottom w:val="single" w:sz="6" w:space="1" w:color="auto"/>
        </w:pBdr>
        <w:rPr>
          <w:rFonts w:asciiTheme="minorHAnsi" w:hAnsiTheme="minorHAnsi"/>
        </w:rPr>
      </w:pPr>
      <w:r w:rsidRPr="006E448D">
        <w:rPr>
          <w:rFonts w:asciiTheme="minorHAnsi" w:hAnsiTheme="minorHAnsi" w:cs="Arial"/>
          <w:b/>
        </w:rPr>
        <w:t xml:space="preserve">National Leadership Grants for Libraries; Institute of Museum and Library Services (IMLS): </w:t>
      </w:r>
      <w:r w:rsidRPr="006E448D">
        <w:rPr>
          <w:rFonts w:asciiTheme="minorHAnsi" w:hAnsiTheme="minorHAnsi" w:cs="Arial"/>
        </w:rPr>
        <w:t xml:space="preserve">seeks applications proposing projects that address challenges faced by the museum, library, and/or archive fields and that have the potential to advance practice in those fields. Three main categories are: </w:t>
      </w:r>
      <w:r w:rsidRPr="006E448D">
        <w:rPr>
          <w:rFonts w:asciiTheme="minorHAnsi" w:hAnsiTheme="minorHAnsi" w:cs="Arial"/>
        </w:rPr>
        <w:lastRenderedPageBreak/>
        <w:t xml:space="preserve">Advancing Digital Resources, Research, and Demonstration. Collaboration with community organizations is encouraged. Applications are due February 3, 2014. For more information, visit </w:t>
      </w:r>
      <w:hyperlink r:id="rId33" w:history="1">
        <w:r w:rsidRPr="006E448D">
          <w:rPr>
            <w:rStyle w:val="Hyperlink"/>
            <w:rFonts w:asciiTheme="minorHAnsi" w:hAnsiTheme="minorHAnsi" w:cs="Arial"/>
          </w:rPr>
          <w:t>Solicitation</w:t>
        </w:r>
      </w:hyperlink>
      <w:r w:rsidRPr="006E448D">
        <w:rPr>
          <w:rFonts w:asciiTheme="minorHAnsi" w:hAnsiTheme="minorHAnsi" w:cs="Arial"/>
        </w:rPr>
        <w:t xml:space="preserve">, </w:t>
      </w:r>
      <w:hyperlink r:id="rId34" w:history="1">
        <w:r w:rsidRPr="006E448D">
          <w:rPr>
            <w:rStyle w:val="Hyperlink"/>
            <w:rFonts w:asciiTheme="minorHAnsi" w:hAnsiTheme="minorHAnsi" w:cs="Arial"/>
          </w:rPr>
          <w:t>Grants.gov</w:t>
        </w:r>
      </w:hyperlink>
    </w:p>
    <w:p w:rsidR="00D40D23" w:rsidRPr="008E2DE4" w:rsidRDefault="00D40D23" w:rsidP="0098742A">
      <w:pPr>
        <w:pBdr>
          <w:top w:val="single" w:sz="6" w:space="1" w:color="auto"/>
          <w:bottom w:val="single" w:sz="6" w:space="1" w:color="auto"/>
        </w:pBdr>
        <w:rPr>
          <w:rFonts w:asciiTheme="minorHAnsi" w:hAnsiTheme="minorHAnsi"/>
          <w:sz w:val="20"/>
          <w:szCs w:val="20"/>
        </w:rPr>
      </w:pPr>
    </w:p>
    <w:p w:rsidR="00D40D23" w:rsidRDefault="00D40D23" w:rsidP="0098742A">
      <w:pPr>
        <w:autoSpaceDE w:val="0"/>
        <w:autoSpaceDN w:val="0"/>
        <w:adjustRightInd w:val="0"/>
        <w:rPr>
          <w:rFonts w:asciiTheme="minorHAnsi" w:hAnsiTheme="minorHAnsi"/>
          <w:b/>
          <w:sz w:val="20"/>
          <w:szCs w:val="20"/>
        </w:rPr>
      </w:pPr>
      <w:bookmarkStart w:id="6" w:name="mul"/>
    </w:p>
    <w:p w:rsidR="00AB2A06" w:rsidRPr="006E448D" w:rsidRDefault="00AB2A06" w:rsidP="0098742A">
      <w:pPr>
        <w:autoSpaceDE w:val="0"/>
        <w:autoSpaceDN w:val="0"/>
        <w:adjustRightInd w:val="0"/>
        <w:rPr>
          <w:rFonts w:asciiTheme="minorHAnsi" w:hAnsiTheme="minorHAnsi"/>
          <w:b/>
          <w:sz w:val="28"/>
          <w:szCs w:val="28"/>
          <w:u w:val="single"/>
        </w:rPr>
      </w:pPr>
      <w:r w:rsidRPr="006E448D">
        <w:rPr>
          <w:rFonts w:asciiTheme="minorHAnsi" w:hAnsiTheme="minorHAnsi"/>
          <w:b/>
          <w:sz w:val="28"/>
          <w:szCs w:val="28"/>
          <w:u w:val="single"/>
        </w:rPr>
        <w:t>Multi and Cross Disciplinary</w:t>
      </w:r>
    </w:p>
    <w:bookmarkEnd w:id="6"/>
    <w:p w:rsidR="00AB2A06" w:rsidRPr="008E2DE4" w:rsidRDefault="00AB2A06" w:rsidP="0098742A">
      <w:pPr>
        <w:pBdr>
          <w:bottom w:val="single" w:sz="6" w:space="1" w:color="auto"/>
        </w:pBdr>
        <w:autoSpaceDE w:val="0"/>
        <w:autoSpaceDN w:val="0"/>
        <w:adjustRightInd w:val="0"/>
        <w:rPr>
          <w:rFonts w:asciiTheme="minorHAnsi" w:hAnsiTheme="minorHAnsi"/>
          <w:sz w:val="20"/>
          <w:szCs w:val="20"/>
          <w:u w:val="single"/>
        </w:rPr>
      </w:pPr>
    </w:p>
    <w:p w:rsidR="00040F66" w:rsidRPr="006E448D" w:rsidRDefault="00040F66" w:rsidP="0098742A">
      <w:pPr>
        <w:pBdr>
          <w:bottom w:val="single" w:sz="6" w:space="1" w:color="auto"/>
        </w:pBdr>
        <w:autoSpaceDE w:val="0"/>
        <w:autoSpaceDN w:val="0"/>
        <w:adjustRightInd w:val="0"/>
        <w:rPr>
          <w:rFonts w:asciiTheme="minorHAnsi" w:hAnsiTheme="minorHAnsi" w:cs="Arial"/>
          <w:color w:val="363636"/>
          <w:shd w:val="clear" w:color="auto" w:fill="FFFFFF"/>
        </w:rPr>
      </w:pPr>
      <w:r w:rsidRPr="006E448D">
        <w:rPr>
          <w:rFonts w:asciiTheme="minorHAnsi" w:hAnsiTheme="minorHAnsi" w:cs="Arial"/>
          <w:b/>
          <w:color w:val="363636"/>
          <w:shd w:val="clear" w:color="auto" w:fill="FFFFFF"/>
        </w:rPr>
        <w:t xml:space="preserve">11th Annual P3 Awards: A National Student Design Competition for Sustainability Focusing on People, Prosperity and the Planet; Environmental Protection Agency (EPA): </w:t>
      </w:r>
      <w:r w:rsidRPr="006E448D">
        <w:rPr>
          <w:rFonts w:asciiTheme="minorHAnsi" w:hAnsiTheme="minorHAnsi" w:cs="Arial"/>
          <w:color w:val="363636"/>
          <w:shd w:val="clear" w:color="auto" w:fill="FFFFFF"/>
        </w:rPr>
        <w:t>seeks applications proposing to research, develop, and design solutions to real world challenges involving the overall sustainability of human society. The P3 competition highlights the use of scientific principles in creating innovative projects focused on sustainability.</w:t>
      </w:r>
      <w:r w:rsidRPr="006E448D">
        <w:rPr>
          <w:rStyle w:val="apple-converted-space"/>
          <w:rFonts w:asciiTheme="minorHAnsi" w:hAnsiTheme="minorHAnsi" w:cs="Arial"/>
          <w:color w:val="363636"/>
          <w:shd w:val="clear" w:color="auto" w:fill="FFFFFF"/>
        </w:rPr>
        <w:t xml:space="preserve"> Proposals are due December 17, 2013. For more information, visit </w:t>
      </w:r>
      <w:hyperlink r:id="rId35" w:history="1">
        <w:r w:rsidRPr="006E448D">
          <w:rPr>
            <w:rStyle w:val="Hyperlink"/>
            <w:rFonts w:asciiTheme="minorHAnsi" w:hAnsiTheme="minorHAnsi" w:cs="Arial"/>
            <w:shd w:val="clear" w:color="auto" w:fill="FFFFFF"/>
          </w:rPr>
          <w:t>EPA.gov</w:t>
        </w:r>
      </w:hyperlink>
    </w:p>
    <w:p w:rsidR="00040F66" w:rsidRPr="006E448D" w:rsidRDefault="00040F66" w:rsidP="0098742A">
      <w:pPr>
        <w:pBdr>
          <w:bottom w:val="single" w:sz="6" w:space="1" w:color="auto"/>
        </w:pBdr>
        <w:autoSpaceDE w:val="0"/>
        <w:autoSpaceDN w:val="0"/>
        <w:adjustRightInd w:val="0"/>
        <w:rPr>
          <w:rFonts w:asciiTheme="minorHAnsi" w:hAnsiTheme="minorHAnsi"/>
          <w:sz w:val="20"/>
          <w:szCs w:val="20"/>
          <w:u w:val="single"/>
        </w:rPr>
      </w:pPr>
    </w:p>
    <w:p w:rsidR="00706713" w:rsidRPr="006E448D" w:rsidRDefault="00706713" w:rsidP="0098742A">
      <w:pPr>
        <w:rPr>
          <w:rStyle w:val="Strong"/>
          <w:rFonts w:asciiTheme="minorHAnsi" w:hAnsiTheme="minorHAnsi" w:cs="Arial"/>
          <w:sz w:val="20"/>
          <w:szCs w:val="20"/>
        </w:rPr>
      </w:pPr>
    </w:p>
    <w:p w:rsidR="00AB2A06" w:rsidRPr="006E448D" w:rsidRDefault="00706713" w:rsidP="0098742A">
      <w:pPr>
        <w:pBdr>
          <w:bottom w:val="single" w:sz="6" w:space="1" w:color="auto"/>
        </w:pBdr>
        <w:rPr>
          <w:rFonts w:asciiTheme="minorHAnsi" w:hAnsiTheme="minorHAnsi"/>
        </w:rPr>
      </w:pPr>
      <w:r w:rsidRPr="006E448D">
        <w:rPr>
          <w:rStyle w:val="Strong"/>
          <w:rFonts w:asciiTheme="minorHAnsi" w:hAnsiTheme="minorHAnsi" w:cs="Arial"/>
        </w:rPr>
        <w:t xml:space="preserve">Department of Energy (DOE) Scholars Program; Department of Energy (DOE): </w:t>
      </w:r>
      <w:r w:rsidR="003D59E9" w:rsidRPr="006E448D">
        <w:rPr>
          <w:rStyle w:val="Strong"/>
          <w:rFonts w:asciiTheme="minorHAnsi" w:hAnsiTheme="minorHAnsi" w:cs="Arial"/>
          <w:b w:val="0"/>
        </w:rPr>
        <w:t xml:space="preserve">supports </w:t>
      </w:r>
      <w:r w:rsidR="003D59E9" w:rsidRPr="006E448D">
        <w:rPr>
          <w:rFonts w:asciiTheme="minorHAnsi" w:hAnsiTheme="minorHAnsi" w:cs="Arial"/>
        </w:rPr>
        <w:t xml:space="preserve">opportunities that introduce students or post-graduates to the agency’s mission and operations. Participants in the DOE Scholars Program gain a competitive edge as they apply their education, talent and skills in a variety of scientific research settings within the DOE complex. Appointments are available in a variety of disciplines at participating DOE facilities nationwide. Applications are due January 12, 2014. For more information, visit </w:t>
      </w:r>
      <w:hyperlink r:id="rId36" w:history="1">
        <w:r w:rsidR="003D59E9" w:rsidRPr="006E448D">
          <w:rPr>
            <w:rStyle w:val="Hyperlink"/>
            <w:rFonts w:asciiTheme="minorHAnsi" w:hAnsiTheme="minorHAnsi"/>
          </w:rPr>
          <w:t>http://orise.orau.gov/doescholars/default.htm</w:t>
        </w:r>
      </w:hyperlink>
    </w:p>
    <w:p w:rsidR="003D59E9" w:rsidRPr="006E448D" w:rsidRDefault="003D59E9" w:rsidP="0098742A">
      <w:pPr>
        <w:pBdr>
          <w:bottom w:val="single" w:sz="6" w:space="1" w:color="auto"/>
        </w:pBdr>
        <w:rPr>
          <w:rFonts w:asciiTheme="minorHAnsi" w:hAnsiTheme="minorHAnsi"/>
          <w:sz w:val="20"/>
          <w:szCs w:val="20"/>
          <w:u w:val="single"/>
        </w:rPr>
      </w:pPr>
    </w:p>
    <w:p w:rsidR="003D59E9" w:rsidRPr="006E448D" w:rsidRDefault="003D59E9" w:rsidP="0098742A">
      <w:pPr>
        <w:rPr>
          <w:rFonts w:asciiTheme="minorHAnsi" w:hAnsiTheme="minorHAnsi"/>
          <w:sz w:val="20"/>
          <w:szCs w:val="20"/>
          <w:u w:val="single"/>
        </w:rPr>
      </w:pPr>
    </w:p>
    <w:p w:rsidR="00AB2A06" w:rsidRPr="006E448D" w:rsidRDefault="00AB2A06" w:rsidP="0098742A">
      <w:pPr>
        <w:rPr>
          <w:rFonts w:asciiTheme="minorHAnsi" w:hAnsiTheme="minorHAnsi"/>
          <w:b/>
          <w:sz w:val="28"/>
          <w:szCs w:val="28"/>
          <w:u w:val="single"/>
        </w:rPr>
      </w:pPr>
      <w:bookmarkStart w:id="7" w:name="phy"/>
      <w:r w:rsidRPr="006E448D">
        <w:rPr>
          <w:rFonts w:asciiTheme="minorHAnsi" w:hAnsiTheme="minorHAnsi"/>
          <w:b/>
          <w:sz w:val="28"/>
          <w:szCs w:val="28"/>
          <w:u w:val="single"/>
        </w:rPr>
        <w:t>Physical Sciences and Math</w:t>
      </w:r>
      <w:bookmarkEnd w:id="7"/>
    </w:p>
    <w:p w:rsidR="004B2C94" w:rsidRPr="006E448D" w:rsidRDefault="004B2C94" w:rsidP="0098742A">
      <w:pPr>
        <w:rPr>
          <w:rFonts w:asciiTheme="minorHAnsi" w:hAnsiTheme="minorHAnsi"/>
          <w:b/>
          <w:sz w:val="20"/>
          <w:szCs w:val="20"/>
          <w:u w:val="single"/>
        </w:rPr>
      </w:pPr>
    </w:p>
    <w:p w:rsidR="002333DB" w:rsidRPr="006E448D" w:rsidRDefault="002333DB" w:rsidP="0098742A">
      <w:pPr>
        <w:pBdr>
          <w:bottom w:val="single" w:sz="6" w:space="1" w:color="auto"/>
        </w:pBdr>
        <w:autoSpaceDE w:val="0"/>
        <w:autoSpaceDN w:val="0"/>
        <w:adjustRightInd w:val="0"/>
        <w:rPr>
          <w:rFonts w:asciiTheme="minorHAnsi" w:hAnsiTheme="minorHAnsi" w:cs="Arial"/>
          <w:color w:val="363636"/>
          <w:shd w:val="clear" w:color="auto" w:fill="FFFFFF"/>
        </w:rPr>
      </w:pPr>
      <w:r w:rsidRPr="006E448D">
        <w:rPr>
          <w:rFonts w:asciiTheme="minorHAnsi" w:hAnsiTheme="minorHAnsi" w:cs="Arial"/>
          <w:b/>
          <w:color w:val="363636"/>
          <w:shd w:val="clear" w:color="auto" w:fill="FFFFFF"/>
        </w:rPr>
        <w:t xml:space="preserve">11th Annual P3 Awards: A National Student Design Competition for Sustainability Focusing on People, Prosperity and the Planet; Environmental Protection Agency (EPA): </w:t>
      </w:r>
      <w:r w:rsidRPr="006E448D">
        <w:rPr>
          <w:rFonts w:asciiTheme="minorHAnsi" w:hAnsiTheme="minorHAnsi" w:cs="Arial"/>
          <w:color w:val="363636"/>
          <w:shd w:val="clear" w:color="auto" w:fill="FFFFFF"/>
        </w:rPr>
        <w:t xml:space="preserve">seeks applications proposing to research, develop, and design solutions to real world challenges involving the overall sustainability of </w:t>
      </w:r>
      <w:proofErr w:type="gramStart"/>
      <w:r w:rsidRPr="006E448D">
        <w:rPr>
          <w:rFonts w:asciiTheme="minorHAnsi" w:hAnsiTheme="minorHAnsi" w:cs="Arial"/>
          <w:color w:val="363636"/>
          <w:shd w:val="clear" w:color="auto" w:fill="FFFFFF"/>
        </w:rPr>
        <w:t>human</w:t>
      </w:r>
      <w:proofErr w:type="gramEnd"/>
      <w:r w:rsidRPr="006E448D">
        <w:rPr>
          <w:rFonts w:asciiTheme="minorHAnsi" w:hAnsiTheme="minorHAnsi" w:cs="Arial"/>
          <w:color w:val="363636"/>
          <w:shd w:val="clear" w:color="auto" w:fill="FFFFFF"/>
        </w:rPr>
        <w:t xml:space="preserve"> society. The P3 competition highlights the use of scientific principles in creating innovative projects focused on sustainability.</w:t>
      </w:r>
      <w:r w:rsidRPr="006E448D">
        <w:rPr>
          <w:rStyle w:val="apple-converted-space"/>
          <w:rFonts w:asciiTheme="minorHAnsi" w:hAnsiTheme="minorHAnsi" w:cs="Arial"/>
          <w:color w:val="363636"/>
          <w:shd w:val="clear" w:color="auto" w:fill="FFFFFF"/>
        </w:rPr>
        <w:t xml:space="preserve"> Proposals are due December 17, 2013. For more information, visit </w:t>
      </w:r>
      <w:hyperlink r:id="rId37" w:history="1">
        <w:r w:rsidRPr="006E448D">
          <w:rPr>
            <w:rStyle w:val="Hyperlink"/>
            <w:rFonts w:asciiTheme="minorHAnsi" w:hAnsiTheme="minorHAnsi" w:cs="Arial"/>
            <w:shd w:val="clear" w:color="auto" w:fill="FFFFFF"/>
          </w:rPr>
          <w:t>EPA.gov</w:t>
        </w:r>
      </w:hyperlink>
    </w:p>
    <w:p w:rsidR="00AB2A06" w:rsidRPr="006E448D" w:rsidRDefault="00AB2A06" w:rsidP="0098742A">
      <w:pPr>
        <w:pBdr>
          <w:bottom w:val="single" w:sz="6" w:space="1" w:color="auto"/>
        </w:pBdr>
        <w:rPr>
          <w:rFonts w:asciiTheme="minorHAnsi" w:hAnsiTheme="minorHAnsi"/>
          <w:b/>
          <w:sz w:val="20"/>
          <w:szCs w:val="20"/>
          <w:u w:val="single"/>
        </w:rPr>
      </w:pPr>
    </w:p>
    <w:p w:rsidR="00AB2A06" w:rsidRDefault="00AB2A06" w:rsidP="0098742A">
      <w:pPr>
        <w:pStyle w:val="PlainText"/>
        <w:rPr>
          <w:rFonts w:asciiTheme="minorHAnsi" w:hAnsiTheme="minorHAnsi"/>
          <w:b/>
          <w:sz w:val="20"/>
          <w:szCs w:val="20"/>
        </w:rPr>
      </w:pPr>
    </w:p>
    <w:p w:rsidR="00D40D23" w:rsidRDefault="00D40D23" w:rsidP="00D40D23">
      <w:pPr>
        <w:pBdr>
          <w:bottom w:val="single" w:sz="6" w:space="1" w:color="auto"/>
        </w:pBdr>
      </w:pPr>
      <w:r w:rsidRPr="003D59E9">
        <w:rPr>
          <w:rStyle w:val="Strong"/>
          <w:rFonts w:asciiTheme="minorHAnsi" w:hAnsiTheme="minorHAnsi" w:cs="Arial"/>
        </w:rPr>
        <w:t xml:space="preserve">Department of Energy (DOE) Scholars Program; Department of Energy (DOE): </w:t>
      </w:r>
      <w:r w:rsidRPr="003D59E9">
        <w:rPr>
          <w:rStyle w:val="Strong"/>
          <w:rFonts w:asciiTheme="minorHAnsi" w:hAnsiTheme="minorHAnsi" w:cs="Arial"/>
          <w:b w:val="0"/>
        </w:rPr>
        <w:t xml:space="preserve">supports </w:t>
      </w:r>
      <w:r w:rsidRPr="003D59E9">
        <w:rPr>
          <w:rFonts w:asciiTheme="minorHAnsi" w:hAnsiTheme="minorHAnsi" w:cs="Arial"/>
        </w:rPr>
        <w:t>opportunities that introduce students or post-graduates to the agency’s mission and operations. Participants in the DOE Scholars Program gain a competitive edge as they apply their education, talent and skills in a variety of scientific research settings within the DOE complex. Appointments are available in a variety of disciplines at participating DOE facilities nationwide.</w:t>
      </w:r>
      <w:r>
        <w:rPr>
          <w:rFonts w:asciiTheme="minorHAnsi" w:hAnsiTheme="minorHAnsi" w:cs="Arial"/>
        </w:rPr>
        <w:t xml:space="preserve"> Applications are due January 12, 2014. For more information, visit </w:t>
      </w:r>
      <w:hyperlink r:id="rId38" w:history="1">
        <w:r>
          <w:rPr>
            <w:rStyle w:val="Hyperlink"/>
          </w:rPr>
          <w:t>http://orise.orau.gov/doescholars/default.htm</w:t>
        </w:r>
      </w:hyperlink>
    </w:p>
    <w:p w:rsidR="00D40D23" w:rsidRPr="00D40D23" w:rsidRDefault="00D40D23" w:rsidP="00D40D23">
      <w:pPr>
        <w:pBdr>
          <w:bottom w:val="single" w:sz="6" w:space="1" w:color="auto"/>
        </w:pBdr>
        <w:rPr>
          <w:sz w:val="20"/>
          <w:szCs w:val="20"/>
        </w:rPr>
      </w:pPr>
    </w:p>
    <w:p w:rsidR="00D40D23" w:rsidRPr="006E448D" w:rsidRDefault="00D40D23" w:rsidP="0098742A">
      <w:pPr>
        <w:pStyle w:val="PlainText"/>
        <w:rPr>
          <w:rFonts w:asciiTheme="minorHAnsi" w:hAnsiTheme="minorHAnsi"/>
          <w:b/>
          <w:sz w:val="20"/>
          <w:szCs w:val="20"/>
        </w:rPr>
      </w:pPr>
    </w:p>
    <w:p w:rsidR="00AB2A06" w:rsidRPr="006E448D" w:rsidRDefault="00AB2A06" w:rsidP="0098742A">
      <w:pPr>
        <w:pStyle w:val="PlainText"/>
        <w:rPr>
          <w:rFonts w:asciiTheme="minorHAnsi" w:hAnsiTheme="minorHAnsi"/>
          <w:b/>
          <w:sz w:val="28"/>
          <w:szCs w:val="28"/>
          <w:u w:val="single"/>
        </w:rPr>
      </w:pPr>
      <w:bookmarkStart w:id="8" w:name="soc"/>
      <w:r w:rsidRPr="006E448D">
        <w:rPr>
          <w:rFonts w:asciiTheme="minorHAnsi" w:hAnsiTheme="minorHAnsi"/>
          <w:b/>
          <w:sz w:val="28"/>
          <w:szCs w:val="28"/>
          <w:u w:val="single"/>
        </w:rPr>
        <w:t>Social Sciences</w:t>
      </w:r>
    </w:p>
    <w:bookmarkEnd w:id="8"/>
    <w:p w:rsidR="00AB2A06" w:rsidRPr="006E448D" w:rsidRDefault="00AB2A06" w:rsidP="0098742A">
      <w:pPr>
        <w:pStyle w:val="PlainText"/>
        <w:pBdr>
          <w:bottom w:val="single" w:sz="6" w:space="1" w:color="auto"/>
        </w:pBdr>
        <w:rPr>
          <w:rFonts w:asciiTheme="minorHAnsi" w:hAnsiTheme="minorHAnsi"/>
          <w:sz w:val="20"/>
          <w:szCs w:val="20"/>
        </w:rPr>
      </w:pPr>
    </w:p>
    <w:p w:rsidR="00447FF3" w:rsidRPr="006E448D" w:rsidRDefault="00447FF3" w:rsidP="0098742A">
      <w:pPr>
        <w:pStyle w:val="PlainText"/>
        <w:pBdr>
          <w:bottom w:val="single" w:sz="6" w:space="1" w:color="auto"/>
        </w:pBdr>
        <w:rPr>
          <w:rFonts w:asciiTheme="minorHAnsi" w:hAnsiTheme="minorHAnsi"/>
        </w:rPr>
      </w:pPr>
      <w:r w:rsidRPr="006E448D">
        <w:rPr>
          <w:rFonts w:asciiTheme="minorHAnsi" w:eastAsia="Times New Roman" w:hAnsiTheme="minorHAnsi"/>
          <w:b/>
          <w:color w:val="333333"/>
          <w:sz w:val="22"/>
          <w:szCs w:val="22"/>
        </w:rPr>
        <w:t xml:space="preserve">Economics of Retirement (R01); United States Department of Health and Human Services (HHS), National Institutes of Health (NIH), National Institute on Aging (NIA): </w:t>
      </w:r>
      <w:r w:rsidRPr="006E448D">
        <w:rPr>
          <w:rFonts w:asciiTheme="minorHAnsi" w:eastAsia="Times New Roman" w:hAnsiTheme="minorHAnsi"/>
          <w:color w:val="333333"/>
          <w:sz w:val="22"/>
          <w:szCs w:val="22"/>
        </w:rPr>
        <w:t xml:space="preserve">supports </w:t>
      </w:r>
      <w:r w:rsidRPr="006E448D">
        <w:rPr>
          <w:rFonts w:asciiTheme="minorHAnsi" w:hAnsiTheme="minorHAnsi"/>
          <w:color w:val="222222"/>
          <w:sz w:val="22"/>
          <w:szCs w:val="22"/>
          <w:shd w:val="clear" w:color="auto" w:fill="FFFFFF"/>
        </w:rPr>
        <w:t xml:space="preserve">research on the economic and health-related factors that influence older persons' choices on labor force participation as </w:t>
      </w:r>
      <w:r w:rsidRPr="006E448D">
        <w:rPr>
          <w:rFonts w:asciiTheme="minorHAnsi" w:hAnsiTheme="minorHAnsi"/>
          <w:color w:val="222222"/>
          <w:sz w:val="22"/>
          <w:szCs w:val="22"/>
          <w:shd w:val="clear" w:color="auto" w:fill="FFFFFF"/>
        </w:rPr>
        <w:lastRenderedPageBreak/>
        <w:t>they near typical retirement age and throughout the later stages of life.</w:t>
      </w:r>
      <w:r w:rsidRPr="006E448D">
        <w:rPr>
          <w:rStyle w:val="apple-converted-space"/>
          <w:rFonts w:asciiTheme="minorHAnsi" w:hAnsiTheme="minorHAnsi"/>
          <w:color w:val="222222"/>
          <w:sz w:val="22"/>
          <w:szCs w:val="22"/>
          <w:shd w:val="clear" w:color="auto" w:fill="FFFFFF"/>
        </w:rPr>
        <w:t> </w:t>
      </w:r>
      <w:r w:rsidRPr="006E448D">
        <w:rPr>
          <w:rFonts w:asciiTheme="minorHAnsi" w:hAnsiTheme="minorHAnsi"/>
          <w:color w:val="000000"/>
          <w:spacing w:val="3"/>
          <w:sz w:val="22"/>
          <w:szCs w:val="22"/>
          <w:shd w:val="clear" w:color="auto" w:fill="FFFFFF"/>
        </w:rPr>
        <w:t xml:space="preserve">Proposals are due February 5, 2014. For more information, visit </w:t>
      </w:r>
      <w:hyperlink r:id="rId39" w:history="1">
        <w:r w:rsidRPr="006E448D">
          <w:rPr>
            <w:rStyle w:val="Hyperlink"/>
            <w:rFonts w:asciiTheme="minorHAnsi" w:hAnsiTheme="minorHAnsi"/>
            <w:spacing w:val="3"/>
            <w:sz w:val="22"/>
            <w:szCs w:val="22"/>
            <w:shd w:val="clear" w:color="auto" w:fill="FFFFFF"/>
          </w:rPr>
          <w:t>PIVOT</w:t>
        </w:r>
      </w:hyperlink>
      <w:r w:rsidRPr="006E448D">
        <w:rPr>
          <w:rFonts w:asciiTheme="minorHAnsi" w:hAnsiTheme="minorHAnsi"/>
          <w:color w:val="000000"/>
          <w:spacing w:val="3"/>
          <w:sz w:val="22"/>
          <w:szCs w:val="22"/>
          <w:shd w:val="clear" w:color="auto" w:fill="FFFFFF"/>
        </w:rPr>
        <w:t xml:space="preserve">, </w:t>
      </w:r>
      <w:hyperlink r:id="rId40" w:history="1">
        <w:r w:rsidRPr="006E448D">
          <w:rPr>
            <w:rStyle w:val="Hyperlink"/>
            <w:rFonts w:asciiTheme="minorHAnsi" w:hAnsiTheme="minorHAnsi"/>
            <w:spacing w:val="3"/>
            <w:sz w:val="22"/>
            <w:szCs w:val="22"/>
            <w:shd w:val="clear" w:color="auto" w:fill="FFFFFF"/>
          </w:rPr>
          <w:t>NIH.gov</w:t>
        </w:r>
      </w:hyperlink>
    </w:p>
    <w:p w:rsidR="00447FF3" w:rsidRPr="006E448D" w:rsidRDefault="00447FF3" w:rsidP="0098742A">
      <w:pPr>
        <w:pStyle w:val="PlainText"/>
        <w:pBdr>
          <w:bottom w:val="single" w:sz="6" w:space="1" w:color="auto"/>
        </w:pBdr>
        <w:rPr>
          <w:rFonts w:asciiTheme="minorHAnsi" w:hAnsiTheme="minorHAnsi"/>
          <w:sz w:val="20"/>
          <w:szCs w:val="20"/>
        </w:rPr>
      </w:pPr>
    </w:p>
    <w:p w:rsidR="00AB2A06" w:rsidRPr="006E448D" w:rsidRDefault="00AB2A06" w:rsidP="0098742A">
      <w:pPr>
        <w:pStyle w:val="PlainText"/>
        <w:rPr>
          <w:rFonts w:asciiTheme="minorHAnsi" w:hAnsiTheme="minorHAnsi"/>
          <w:sz w:val="20"/>
          <w:szCs w:val="20"/>
        </w:rPr>
      </w:pPr>
    </w:p>
    <w:p w:rsidR="006E448D" w:rsidRPr="006E448D" w:rsidRDefault="00F37F71" w:rsidP="006E448D">
      <w:pPr>
        <w:pStyle w:val="PlainText"/>
        <w:pBdr>
          <w:bottom w:val="single" w:sz="6" w:space="1" w:color="auto"/>
        </w:pBdr>
        <w:rPr>
          <w:rFonts w:asciiTheme="minorHAnsi" w:hAnsiTheme="minorHAnsi"/>
        </w:rPr>
      </w:pPr>
      <w:r w:rsidRPr="006E448D">
        <w:rPr>
          <w:rFonts w:asciiTheme="minorHAnsi" w:eastAsia="Times New Roman" w:hAnsiTheme="minorHAnsi"/>
          <w:b/>
          <w:color w:val="333333"/>
          <w:sz w:val="22"/>
          <w:szCs w:val="22"/>
        </w:rPr>
        <w:t>Healthy Habits: Timing for Developing Sustainable Healthy Behaviors in Children and Adolescents (R01); United States Department of Health and Human Services (HHS), National Institutes of Health (NIH):</w:t>
      </w:r>
      <w:r w:rsidRPr="006E448D">
        <w:rPr>
          <w:rFonts w:asciiTheme="minorHAnsi" w:eastAsia="Times New Roman" w:hAnsiTheme="minorHAnsi"/>
          <w:color w:val="333333"/>
          <w:sz w:val="22"/>
          <w:szCs w:val="22"/>
        </w:rPr>
        <w:t xml:space="preserve"> supports </w:t>
      </w:r>
      <w:r w:rsidRPr="006E448D">
        <w:rPr>
          <w:rFonts w:asciiTheme="minorHAnsi" w:hAnsiTheme="minorHAnsi"/>
          <w:color w:val="222222"/>
          <w:sz w:val="22"/>
          <w:szCs w:val="22"/>
          <w:shd w:val="clear" w:color="auto" w:fill="FFFFFF"/>
        </w:rPr>
        <w:t>research to identify mechanisms of influence and/or promote positive sustainable health behavior(s) in children and youth (birth</w:t>
      </w:r>
      <w:r w:rsidRPr="006E448D">
        <w:rPr>
          <w:rStyle w:val="apple-converted-space"/>
          <w:rFonts w:asciiTheme="minorHAnsi" w:hAnsiTheme="minorHAnsi"/>
          <w:color w:val="222222"/>
          <w:sz w:val="22"/>
          <w:szCs w:val="22"/>
          <w:shd w:val="clear" w:color="auto" w:fill="FFFFFF"/>
        </w:rPr>
        <w:t> </w:t>
      </w:r>
      <w:r w:rsidRPr="006E448D">
        <w:rPr>
          <w:rStyle w:val="details"/>
          <w:rFonts w:asciiTheme="minorHAnsi" w:hAnsiTheme="minorHAnsi"/>
          <w:color w:val="222222"/>
          <w:sz w:val="22"/>
          <w:szCs w:val="22"/>
          <w:shd w:val="clear" w:color="auto" w:fill="FFFFFF"/>
        </w:rPr>
        <w:t>to age 18). Positive health behaviors may include - developing healthy sleep patterns, - developing effective self-regulation strategies, - adaptive decision-making in risk situations, - practicing proper dental hygiene, - eating a balanced and nutritious diet, - engaging in age-appropriate physical activity, and/or - participating in healthy relationships.</w:t>
      </w:r>
      <w:r w:rsidRPr="006E448D">
        <w:rPr>
          <w:rStyle w:val="apple-converted-space"/>
          <w:rFonts w:asciiTheme="minorHAnsi" w:hAnsiTheme="minorHAnsi"/>
          <w:color w:val="222222"/>
          <w:sz w:val="22"/>
          <w:szCs w:val="22"/>
          <w:shd w:val="clear" w:color="auto" w:fill="FFFFFF"/>
        </w:rPr>
        <w:t> </w:t>
      </w:r>
      <w:r w:rsidRPr="006E448D">
        <w:rPr>
          <w:rFonts w:asciiTheme="minorHAnsi" w:hAnsiTheme="minorHAnsi"/>
          <w:color w:val="000000"/>
          <w:spacing w:val="3"/>
          <w:sz w:val="22"/>
          <w:szCs w:val="22"/>
          <w:shd w:val="clear" w:color="auto" w:fill="FFFFFF"/>
        </w:rPr>
        <w:t xml:space="preserve">Proposals are due February 5, 2014. For more information, visit </w:t>
      </w:r>
      <w:hyperlink r:id="rId41" w:history="1">
        <w:r w:rsidRPr="006E448D">
          <w:rPr>
            <w:rStyle w:val="Hyperlink"/>
            <w:rFonts w:asciiTheme="minorHAnsi" w:hAnsiTheme="minorHAnsi"/>
            <w:spacing w:val="3"/>
            <w:sz w:val="22"/>
            <w:szCs w:val="22"/>
            <w:shd w:val="clear" w:color="auto" w:fill="FFFFFF"/>
          </w:rPr>
          <w:t>PIVOT</w:t>
        </w:r>
      </w:hyperlink>
      <w:r w:rsidRPr="006E448D">
        <w:rPr>
          <w:rFonts w:asciiTheme="minorHAnsi" w:hAnsiTheme="minorHAnsi"/>
          <w:color w:val="000000"/>
          <w:spacing w:val="3"/>
          <w:sz w:val="22"/>
          <w:szCs w:val="22"/>
          <w:shd w:val="clear" w:color="auto" w:fill="FFFFFF"/>
        </w:rPr>
        <w:t xml:space="preserve"> </w:t>
      </w:r>
      <w:hyperlink r:id="rId42" w:history="1">
        <w:r w:rsidRPr="006E448D">
          <w:rPr>
            <w:rStyle w:val="Hyperlink"/>
            <w:rFonts w:asciiTheme="minorHAnsi" w:hAnsiTheme="minorHAnsi"/>
            <w:spacing w:val="3"/>
            <w:sz w:val="22"/>
            <w:szCs w:val="22"/>
            <w:shd w:val="clear" w:color="auto" w:fill="FFFFFF"/>
          </w:rPr>
          <w:t>NIH.gov</w:t>
        </w:r>
      </w:hyperlink>
    </w:p>
    <w:p w:rsidR="006E448D" w:rsidRPr="006E448D" w:rsidRDefault="006E448D" w:rsidP="009B1920">
      <w:pPr>
        <w:pStyle w:val="PlainText"/>
        <w:pBdr>
          <w:bottom w:val="single" w:sz="6" w:space="1" w:color="auto"/>
          <w:between w:val="single" w:sz="6" w:space="1" w:color="auto"/>
        </w:pBdr>
        <w:rPr>
          <w:rFonts w:asciiTheme="minorHAnsi" w:hAnsiTheme="minorHAnsi"/>
          <w:sz w:val="20"/>
          <w:szCs w:val="20"/>
        </w:rPr>
      </w:pPr>
    </w:p>
    <w:p w:rsidR="006E448D" w:rsidRPr="006E448D" w:rsidRDefault="006E448D" w:rsidP="006E448D">
      <w:pPr>
        <w:pStyle w:val="PlainText"/>
        <w:pBdr>
          <w:bottom w:val="single" w:sz="6" w:space="1" w:color="auto"/>
        </w:pBdr>
        <w:tabs>
          <w:tab w:val="left" w:pos="2296"/>
        </w:tabs>
        <w:rPr>
          <w:rFonts w:asciiTheme="minorHAnsi" w:hAnsiTheme="minorHAnsi"/>
          <w:sz w:val="20"/>
          <w:szCs w:val="20"/>
        </w:rPr>
      </w:pPr>
      <w:r w:rsidRPr="006E448D">
        <w:rPr>
          <w:rFonts w:asciiTheme="minorHAnsi" w:hAnsiTheme="minorHAnsi"/>
          <w:sz w:val="20"/>
          <w:szCs w:val="20"/>
        </w:rPr>
        <w:tab/>
      </w:r>
    </w:p>
    <w:p w:rsidR="009B1920" w:rsidRPr="006E448D" w:rsidRDefault="004B2C94" w:rsidP="009B1920">
      <w:pPr>
        <w:pStyle w:val="PlainText"/>
        <w:pBdr>
          <w:bottom w:val="single" w:sz="6" w:space="1" w:color="auto"/>
        </w:pBdr>
        <w:rPr>
          <w:rFonts w:asciiTheme="minorHAnsi" w:hAnsiTheme="minorHAnsi"/>
          <w:b/>
          <w:sz w:val="28"/>
          <w:szCs w:val="28"/>
          <w:u w:val="single"/>
        </w:rPr>
      </w:pPr>
      <w:bookmarkStart w:id="9" w:name="stu"/>
      <w:r w:rsidRPr="006E448D">
        <w:rPr>
          <w:rFonts w:asciiTheme="minorHAnsi" w:hAnsiTheme="minorHAnsi"/>
          <w:b/>
          <w:sz w:val="28"/>
          <w:szCs w:val="28"/>
          <w:u w:val="single"/>
        </w:rPr>
        <w:t>Student Development</w:t>
      </w:r>
    </w:p>
    <w:bookmarkEnd w:id="9"/>
    <w:p w:rsidR="009B1920" w:rsidRPr="006E448D" w:rsidRDefault="009B1920" w:rsidP="009B1920">
      <w:pPr>
        <w:pStyle w:val="PlainText"/>
        <w:pBdr>
          <w:bottom w:val="single" w:sz="6" w:space="1" w:color="auto"/>
        </w:pBdr>
        <w:rPr>
          <w:rFonts w:asciiTheme="minorHAnsi" w:hAnsiTheme="minorHAnsi"/>
          <w:b/>
          <w:sz w:val="20"/>
          <w:szCs w:val="20"/>
          <w:u w:val="single"/>
        </w:rPr>
      </w:pPr>
    </w:p>
    <w:p w:rsidR="004B2C94" w:rsidRPr="006E448D" w:rsidRDefault="004B2C94" w:rsidP="009B1920">
      <w:pPr>
        <w:pStyle w:val="PlainText"/>
        <w:pBdr>
          <w:bottom w:val="single" w:sz="6" w:space="1" w:color="auto"/>
        </w:pBdr>
        <w:rPr>
          <w:rFonts w:asciiTheme="minorHAnsi" w:hAnsiTheme="minorHAnsi"/>
          <w:sz w:val="22"/>
          <w:szCs w:val="22"/>
        </w:rPr>
      </w:pPr>
      <w:r w:rsidRPr="006E448D">
        <w:rPr>
          <w:rStyle w:val="Strong"/>
          <w:rFonts w:asciiTheme="minorHAnsi" w:hAnsiTheme="minorHAnsi"/>
          <w:sz w:val="22"/>
          <w:szCs w:val="22"/>
        </w:rPr>
        <w:t xml:space="preserve">Department of Energy (DOE) Scholars Program; Department of Energy (DOE): </w:t>
      </w:r>
      <w:r w:rsidRPr="006E448D">
        <w:rPr>
          <w:rStyle w:val="Strong"/>
          <w:rFonts w:asciiTheme="minorHAnsi" w:hAnsiTheme="minorHAnsi"/>
          <w:b w:val="0"/>
          <w:sz w:val="22"/>
          <w:szCs w:val="22"/>
        </w:rPr>
        <w:t xml:space="preserve">supports </w:t>
      </w:r>
      <w:r w:rsidRPr="006E448D">
        <w:rPr>
          <w:rFonts w:asciiTheme="minorHAnsi" w:hAnsiTheme="minorHAnsi"/>
          <w:sz w:val="22"/>
          <w:szCs w:val="22"/>
        </w:rPr>
        <w:t xml:space="preserve">opportunities that introduce students or post-graduates to the agency’s mission and operations. Participants in the DOE Scholars Program gain a competitive edge as they apply their education, talent and skills in a variety of scientific research settings within the DOE complex. Appointments are available in a variety of disciplines at participating DOE facilities nationwide. Applications are due January 12, 2014. For more information, visit </w:t>
      </w:r>
      <w:hyperlink r:id="rId43" w:history="1">
        <w:r w:rsidRPr="006E448D">
          <w:rPr>
            <w:rStyle w:val="Hyperlink"/>
            <w:rFonts w:asciiTheme="minorHAnsi" w:hAnsiTheme="minorHAnsi"/>
            <w:sz w:val="22"/>
            <w:szCs w:val="22"/>
          </w:rPr>
          <w:t>http://orise.orau.gov/doescholars/default.htm</w:t>
        </w:r>
      </w:hyperlink>
    </w:p>
    <w:p w:rsidR="004B2C94" w:rsidRPr="004B2C94" w:rsidRDefault="004B2C94" w:rsidP="004B2C94">
      <w:pPr>
        <w:pBdr>
          <w:bottom w:val="single" w:sz="6" w:space="1" w:color="auto"/>
        </w:pBdr>
        <w:rPr>
          <w:sz w:val="20"/>
          <w:szCs w:val="20"/>
        </w:rPr>
      </w:pPr>
    </w:p>
    <w:p w:rsidR="004B2C94" w:rsidRPr="004B2C94" w:rsidRDefault="004B2C94" w:rsidP="00AB2A06">
      <w:pPr>
        <w:pStyle w:val="PlainText"/>
        <w:rPr>
          <w:rFonts w:ascii="Calibri" w:hAnsi="Calibri"/>
          <w:b/>
          <w:sz w:val="28"/>
          <w:szCs w:val="28"/>
          <w:u w:val="single"/>
        </w:rPr>
      </w:pPr>
    </w:p>
    <w:p w:rsidR="00EA6481" w:rsidRPr="00740927" w:rsidRDefault="00EA6481" w:rsidP="00EA6481">
      <w:pPr>
        <w:pStyle w:val="PlainText"/>
        <w:rPr>
          <w:rFonts w:asciiTheme="minorHAnsi" w:hAnsiTheme="minorHAnsi"/>
        </w:rPr>
      </w:pPr>
    </w:p>
    <w:p w:rsidR="00EA6481" w:rsidRPr="00740927" w:rsidRDefault="00EA6481" w:rsidP="00EA6481">
      <w:pPr>
        <w:pStyle w:val="PlainText"/>
        <w:rPr>
          <w:rFonts w:asciiTheme="minorHAnsi" w:hAnsiTheme="minorHAnsi"/>
        </w:rPr>
      </w:pPr>
    </w:p>
    <w:p w:rsidR="00EA6481" w:rsidRPr="00740927" w:rsidRDefault="00EA6481" w:rsidP="00EA6481">
      <w:pPr>
        <w:rPr>
          <w:rFonts w:asciiTheme="minorHAnsi" w:hAnsiTheme="minorHAnsi"/>
        </w:rPr>
      </w:pPr>
    </w:p>
    <w:p w:rsidR="00EA6481" w:rsidRPr="00740927" w:rsidRDefault="00C401C2" w:rsidP="00EA6481">
      <w:pPr>
        <w:rPr>
          <w:rFonts w:asciiTheme="minorHAnsi" w:hAnsiTheme="minorHAnsi"/>
        </w:rPr>
      </w:pPr>
      <w:r>
        <w:rPr>
          <w:rFonts w:asciiTheme="minorHAnsi" w:hAnsiTheme="minorHAnsi"/>
          <w:noProof/>
        </w:rPr>
        <w:pict>
          <v:shape id="_x0000_s1028" type="#_x0000_t202" style="position:absolute;margin-left:-44.35pt;margin-top:-37.35pt;width:542.25pt;height:286.65pt;z-index:251662336" stroked="f">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5279"/>
                  </w:tblGrid>
                  <w:tr w:rsidR="00932741" w:rsidTr="00C87880">
                    <w:tc>
                      <w:tcPr>
                        <w:tcW w:w="10557" w:type="dxa"/>
                        <w:gridSpan w:val="2"/>
                      </w:tcPr>
                      <w:p w:rsidR="00932741" w:rsidRPr="00E967E4" w:rsidRDefault="00932741" w:rsidP="00C87880">
                        <w:pPr>
                          <w:jc w:val="center"/>
                          <w:rPr>
                            <w:b/>
                            <w:bCs/>
                            <w:sz w:val="20"/>
                            <w:szCs w:val="20"/>
                            <w:u w:val="single"/>
                          </w:rPr>
                        </w:pPr>
                        <w:r w:rsidRPr="00E967E4">
                          <w:rPr>
                            <w:b/>
                            <w:bCs/>
                            <w:u w:val="single"/>
                          </w:rPr>
                          <w:t>Additional Funding Opportunities:</w:t>
                        </w:r>
                      </w:p>
                      <w:p w:rsidR="00932741" w:rsidRPr="00E967E4" w:rsidRDefault="00932741" w:rsidP="00C87880">
                        <w:pPr>
                          <w:jc w:val="center"/>
                          <w:rPr>
                            <w:b/>
                            <w:bCs/>
                          </w:rPr>
                        </w:pPr>
                        <w:r w:rsidRPr="00E967E4">
                          <w:rPr>
                            <w:b/>
                            <w:bCs/>
                          </w:rPr>
                          <w:t>*These search engines and other resources may help you identify funding for a specific need or help you refine your ideas.</w:t>
                        </w:r>
                      </w:p>
                      <w:p w:rsidR="00932741" w:rsidRDefault="00932741" w:rsidP="00C87880">
                        <w:pPr>
                          <w:jc w:val="center"/>
                        </w:pPr>
                      </w:p>
                    </w:tc>
                  </w:tr>
                  <w:tr w:rsidR="00932741" w:rsidTr="00C87880">
                    <w:tc>
                      <w:tcPr>
                        <w:tcW w:w="5278" w:type="dxa"/>
                      </w:tcPr>
                      <w:p w:rsidR="00932741" w:rsidRPr="00E967E4" w:rsidRDefault="00932741" w:rsidP="00C87880">
                        <w:pPr>
                          <w:rPr>
                            <w:b/>
                            <w:bCs/>
                          </w:rPr>
                        </w:pPr>
                        <w:r w:rsidRPr="00E967E4">
                          <w:rPr>
                            <w:b/>
                            <w:bCs/>
                          </w:rPr>
                          <w:t>Search For Funding Opportunities</w:t>
                        </w:r>
                      </w:p>
                      <w:p w:rsidR="00932741" w:rsidRDefault="00932741" w:rsidP="00C87880">
                        <w:pPr>
                          <w:jc w:val="center"/>
                        </w:pPr>
                      </w:p>
                    </w:tc>
                    <w:tc>
                      <w:tcPr>
                        <w:tcW w:w="5279" w:type="dxa"/>
                      </w:tcPr>
                      <w:p w:rsidR="00932741" w:rsidRPr="00E967E4" w:rsidRDefault="00932741" w:rsidP="00C87880">
                        <w:pPr>
                          <w:rPr>
                            <w:b/>
                            <w:bCs/>
                          </w:rPr>
                        </w:pPr>
                        <w:r w:rsidRPr="00E967E4">
                          <w:rPr>
                            <w:b/>
                            <w:bCs/>
                          </w:rPr>
                          <w:t>Assistance For Finding And Analyzing Funding Opportunities</w:t>
                        </w:r>
                      </w:p>
                      <w:p w:rsidR="00932741" w:rsidRDefault="00932741" w:rsidP="00C87880">
                        <w:pPr>
                          <w:jc w:val="center"/>
                        </w:pPr>
                      </w:p>
                    </w:tc>
                  </w:tr>
                  <w:tr w:rsidR="00932741" w:rsidTr="00C87880">
                    <w:tc>
                      <w:tcPr>
                        <w:tcW w:w="5278" w:type="dxa"/>
                      </w:tcPr>
                      <w:p w:rsidR="00932741" w:rsidRDefault="00932741" w:rsidP="00C87880">
                        <w:hyperlink r:id="rId44" w:history="1">
                          <w:r w:rsidRPr="00E967E4">
                            <w:rPr>
                              <w:rStyle w:val="Hyperlink"/>
                              <w:b/>
                              <w:bCs/>
                            </w:rPr>
                            <w:t>GrantSearch</w:t>
                          </w:r>
                        </w:hyperlink>
                      </w:p>
                      <w:p w:rsidR="00932741" w:rsidRDefault="00932741" w:rsidP="00C87880">
                        <w:pPr>
                          <w:jc w:val="center"/>
                        </w:pPr>
                      </w:p>
                    </w:tc>
                    <w:tc>
                      <w:tcPr>
                        <w:tcW w:w="5279" w:type="dxa"/>
                      </w:tcPr>
                      <w:p w:rsidR="00932741" w:rsidRDefault="00932741" w:rsidP="00C87880">
                        <w:hyperlink r:id="rId45" w:history="1">
                          <w:r w:rsidRPr="00E967E4">
                            <w:rPr>
                              <w:rStyle w:val="Hyperlink"/>
                              <w:b/>
                              <w:bCs/>
                            </w:rPr>
                            <w:t>Grant Resource Center</w:t>
                          </w:r>
                        </w:hyperlink>
                      </w:p>
                      <w:p w:rsidR="00932741" w:rsidRDefault="00932741" w:rsidP="00C87880">
                        <w:pPr>
                          <w:jc w:val="center"/>
                        </w:pPr>
                      </w:p>
                    </w:tc>
                  </w:tr>
                  <w:tr w:rsidR="00932741" w:rsidTr="00C87880">
                    <w:tc>
                      <w:tcPr>
                        <w:tcW w:w="5278" w:type="dxa"/>
                      </w:tcPr>
                      <w:p w:rsidR="00932741" w:rsidRDefault="00932741" w:rsidP="00C87880">
                        <w:hyperlink r:id="rId46" w:history="1">
                          <w:r w:rsidRPr="00E967E4">
                            <w:rPr>
                              <w:rStyle w:val="Hyperlink"/>
                              <w:b/>
                              <w:bCs/>
                            </w:rPr>
                            <w:t>Pivot</w:t>
                          </w:r>
                        </w:hyperlink>
                      </w:p>
                      <w:p w:rsidR="00932741" w:rsidRDefault="00932741" w:rsidP="00C87880">
                        <w:pPr>
                          <w:jc w:val="center"/>
                        </w:pPr>
                      </w:p>
                    </w:tc>
                    <w:tc>
                      <w:tcPr>
                        <w:tcW w:w="5279" w:type="dxa"/>
                      </w:tcPr>
                      <w:p w:rsidR="00932741" w:rsidRPr="00C809EA" w:rsidRDefault="00932741" w:rsidP="00C87880">
                        <w:pPr>
                          <w:rPr>
                            <w:b/>
                          </w:rPr>
                        </w:pPr>
                        <w:hyperlink r:id="rId47" w:history="1">
                          <w:r w:rsidRPr="00C809EA">
                            <w:rPr>
                              <w:rStyle w:val="Hyperlink"/>
                              <w:b/>
                            </w:rPr>
                            <w:t>Date, Updates, and Insights</w:t>
                          </w:r>
                        </w:hyperlink>
                        <w:r w:rsidRPr="00C809EA">
                          <w:rPr>
                            <w:b/>
                          </w:rPr>
                          <w:t xml:space="preserve"> </w:t>
                        </w:r>
                      </w:p>
                    </w:tc>
                  </w:tr>
                  <w:tr w:rsidR="00932741" w:rsidTr="00C87880">
                    <w:tc>
                      <w:tcPr>
                        <w:tcW w:w="5278" w:type="dxa"/>
                      </w:tcPr>
                      <w:p w:rsidR="00932741" w:rsidRDefault="00932741" w:rsidP="00C87880">
                        <w:hyperlink r:id="rId48" w:history="1">
                          <w:r w:rsidRPr="00E967E4">
                            <w:rPr>
                              <w:rStyle w:val="Hyperlink"/>
                              <w:b/>
                              <w:bCs/>
                            </w:rPr>
                            <w:t>Grants.gov</w:t>
                          </w:r>
                        </w:hyperlink>
                      </w:p>
                      <w:p w:rsidR="00932741" w:rsidRDefault="00932741" w:rsidP="00C87880">
                        <w:pPr>
                          <w:jc w:val="center"/>
                        </w:pPr>
                      </w:p>
                    </w:tc>
                    <w:tc>
                      <w:tcPr>
                        <w:tcW w:w="5279" w:type="dxa"/>
                      </w:tcPr>
                      <w:p w:rsidR="00932741" w:rsidRDefault="00932741" w:rsidP="00C87880">
                        <w:hyperlink r:id="rId49" w:history="1">
                          <w:r w:rsidRPr="00E967E4">
                            <w:rPr>
                              <w:rStyle w:val="Hyperlink"/>
                              <w:b/>
                              <w:bCs/>
                            </w:rPr>
                            <w:t>Good Funding Opportunities &amp; Support</w:t>
                          </w:r>
                        </w:hyperlink>
                      </w:p>
                      <w:p w:rsidR="00932741" w:rsidRDefault="00932741" w:rsidP="00C87880">
                        <w:pPr>
                          <w:jc w:val="center"/>
                        </w:pPr>
                      </w:p>
                    </w:tc>
                  </w:tr>
                  <w:tr w:rsidR="00932741" w:rsidTr="00C87880">
                    <w:tc>
                      <w:tcPr>
                        <w:tcW w:w="10557" w:type="dxa"/>
                        <w:gridSpan w:val="2"/>
                      </w:tcPr>
                      <w:p w:rsidR="00932741" w:rsidRDefault="00932741" w:rsidP="00C87880">
                        <w:pPr>
                          <w:jc w:val="center"/>
                        </w:pPr>
                        <w:hyperlink r:id="rId50" w:history="1">
                          <w:r w:rsidRPr="00E967E4">
                            <w:rPr>
                              <w:rStyle w:val="Hyperlink"/>
                              <w:b/>
                              <w:bCs/>
                            </w:rPr>
                            <w:t>Office of Sponsored Programs</w:t>
                          </w:r>
                        </w:hyperlink>
                      </w:p>
                      <w:p w:rsidR="00932741" w:rsidRDefault="00932741" w:rsidP="00C87880">
                        <w:pPr>
                          <w:jc w:val="center"/>
                        </w:pPr>
                      </w:p>
                    </w:tc>
                  </w:tr>
                  <w:tr w:rsidR="00932741" w:rsidTr="00C87880">
                    <w:tc>
                      <w:tcPr>
                        <w:tcW w:w="10557" w:type="dxa"/>
                        <w:gridSpan w:val="2"/>
                      </w:tcPr>
                      <w:p w:rsidR="00932741" w:rsidRPr="00E967E4" w:rsidRDefault="00932741" w:rsidP="00C87880">
                        <w:pPr>
                          <w:jc w:val="center"/>
                          <w:rPr>
                            <w:b/>
                            <w:bCs/>
                            <w:i/>
                            <w:iCs/>
                            <w:sz w:val="16"/>
                            <w:szCs w:val="16"/>
                          </w:rPr>
                        </w:pPr>
                        <w:r w:rsidRPr="00E967E4">
                          <w:rPr>
                            <w:b/>
                            <w:bCs/>
                            <w:i/>
                            <w:iCs/>
                            <w:sz w:val="16"/>
                            <w:szCs w:val="16"/>
                          </w:rPr>
                          <w:t>Dates, Updates and Insights</w:t>
                        </w:r>
                      </w:p>
                      <w:p w:rsidR="00932741" w:rsidRPr="00E967E4" w:rsidRDefault="00932741" w:rsidP="00C87880">
                        <w:pPr>
                          <w:jc w:val="center"/>
                          <w:rPr>
                            <w:b/>
                            <w:bCs/>
                            <w:i/>
                            <w:iCs/>
                            <w:sz w:val="16"/>
                            <w:szCs w:val="16"/>
                          </w:rPr>
                        </w:pPr>
                        <w:r w:rsidRPr="00E967E4">
                          <w:rPr>
                            <w:b/>
                            <w:bCs/>
                            <w:i/>
                            <w:iCs/>
                            <w:sz w:val="16"/>
                            <w:szCs w:val="16"/>
                          </w:rPr>
                          <w:t>Office of Sponsored Programs</w:t>
                        </w:r>
                      </w:p>
                      <w:p w:rsidR="00932741" w:rsidRPr="00E967E4" w:rsidRDefault="00932741" w:rsidP="00C87880">
                        <w:pPr>
                          <w:jc w:val="center"/>
                          <w:rPr>
                            <w:sz w:val="16"/>
                            <w:szCs w:val="16"/>
                          </w:rPr>
                        </w:pPr>
                        <w:r w:rsidRPr="00E967E4">
                          <w:rPr>
                            <w:i/>
                            <w:iCs/>
                            <w:sz w:val="16"/>
                            <w:szCs w:val="16"/>
                          </w:rPr>
                          <w:t>OSP Dates, Updates and Insights</w:t>
                        </w:r>
                        <w:r w:rsidRPr="00E967E4">
                          <w:rPr>
                            <w:sz w:val="16"/>
                            <w:szCs w:val="16"/>
                          </w:rPr>
                          <w:t xml:space="preserve"> (DUI) is an occasional publication of the Office of Sponsored Programs, William Paterson University, contains information on funding opportunities organized around discipline groupings. The information provided here was collected from print and electronic information resources and subscriptions. All information copyrighted by original publishers or WPU.</w:t>
                        </w:r>
                      </w:p>
                      <w:p w:rsidR="00932741" w:rsidRDefault="00932741" w:rsidP="00C87880">
                        <w:pPr>
                          <w:jc w:val="center"/>
                        </w:pPr>
                      </w:p>
                    </w:tc>
                  </w:tr>
                </w:tbl>
                <w:p w:rsidR="00932741" w:rsidRDefault="00932741" w:rsidP="00EA6481">
                  <w:pPr>
                    <w:jc w:val="center"/>
                  </w:pPr>
                </w:p>
                <w:p w:rsidR="00932741" w:rsidRDefault="00932741" w:rsidP="00EA6481"/>
              </w:txbxContent>
            </v:textbox>
          </v:shape>
        </w:pict>
      </w: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EA6481" w:rsidRPr="00740927" w:rsidRDefault="00EA6481" w:rsidP="00EA6481">
      <w:pPr>
        <w:rPr>
          <w:rFonts w:asciiTheme="minorHAnsi" w:hAnsiTheme="minorHAnsi"/>
        </w:rPr>
      </w:pPr>
    </w:p>
    <w:p w:rsidR="00C87880" w:rsidRPr="00740927" w:rsidRDefault="00C87880">
      <w:pPr>
        <w:rPr>
          <w:rFonts w:asciiTheme="minorHAnsi" w:hAnsiTheme="minorHAnsi"/>
        </w:rPr>
      </w:pPr>
    </w:p>
    <w:sectPr w:rsidR="00C87880" w:rsidRPr="00740927" w:rsidSect="00C87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6481"/>
    <w:rsid w:val="00040F66"/>
    <w:rsid w:val="00087874"/>
    <w:rsid w:val="000D2825"/>
    <w:rsid w:val="000D6872"/>
    <w:rsid w:val="00152F7C"/>
    <w:rsid w:val="00191386"/>
    <w:rsid w:val="00194E74"/>
    <w:rsid w:val="001B1DC2"/>
    <w:rsid w:val="001B3914"/>
    <w:rsid w:val="001F3515"/>
    <w:rsid w:val="001F5234"/>
    <w:rsid w:val="002109D9"/>
    <w:rsid w:val="002122A2"/>
    <w:rsid w:val="002333DB"/>
    <w:rsid w:val="002559CE"/>
    <w:rsid w:val="002A0823"/>
    <w:rsid w:val="002B10CC"/>
    <w:rsid w:val="002D6F17"/>
    <w:rsid w:val="002E0D80"/>
    <w:rsid w:val="00301AA4"/>
    <w:rsid w:val="00350EE1"/>
    <w:rsid w:val="00364BFB"/>
    <w:rsid w:val="00391445"/>
    <w:rsid w:val="00394DF8"/>
    <w:rsid w:val="00396AEB"/>
    <w:rsid w:val="003B1AE8"/>
    <w:rsid w:val="003C611A"/>
    <w:rsid w:val="003D59E9"/>
    <w:rsid w:val="003D645E"/>
    <w:rsid w:val="004107C4"/>
    <w:rsid w:val="004277E2"/>
    <w:rsid w:val="004370C5"/>
    <w:rsid w:val="00447FF3"/>
    <w:rsid w:val="004716B9"/>
    <w:rsid w:val="00472280"/>
    <w:rsid w:val="00481F2C"/>
    <w:rsid w:val="00496E2A"/>
    <w:rsid w:val="004A4143"/>
    <w:rsid w:val="004A61A3"/>
    <w:rsid w:val="004B2C94"/>
    <w:rsid w:val="004D79F1"/>
    <w:rsid w:val="004E4B80"/>
    <w:rsid w:val="0055235C"/>
    <w:rsid w:val="00562C48"/>
    <w:rsid w:val="00595733"/>
    <w:rsid w:val="005A5C31"/>
    <w:rsid w:val="005A7622"/>
    <w:rsid w:val="005D2E15"/>
    <w:rsid w:val="0060168D"/>
    <w:rsid w:val="006102C6"/>
    <w:rsid w:val="00610873"/>
    <w:rsid w:val="0061305B"/>
    <w:rsid w:val="00620A29"/>
    <w:rsid w:val="00644A57"/>
    <w:rsid w:val="006539C0"/>
    <w:rsid w:val="006605D7"/>
    <w:rsid w:val="00671628"/>
    <w:rsid w:val="00680FA1"/>
    <w:rsid w:val="006B52D8"/>
    <w:rsid w:val="006D69C1"/>
    <w:rsid w:val="006E448D"/>
    <w:rsid w:val="006E6D00"/>
    <w:rsid w:val="007025BF"/>
    <w:rsid w:val="00706713"/>
    <w:rsid w:val="00740927"/>
    <w:rsid w:val="007519B1"/>
    <w:rsid w:val="00770BB3"/>
    <w:rsid w:val="00792B94"/>
    <w:rsid w:val="007C6419"/>
    <w:rsid w:val="007D3AC9"/>
    <w:rsid w:val="007E06CC"/>
    <w:rsid w:val="007E551F"/>
    <w:rsid w:val="007F0A3B"/>
    <w:rsid w:val="00807266"/>
    <w:rsid w:val="00821395"/>
    <w:rsid w:val="0084443D"/>
    <w:rsid w:val="00854D98"/>
    <w:rsid w:val="0087314F"/>
    <w:rsid w:val="00883CB3"/>
    <w:rsid w:val="008E2DE4"/>
    <w:rsid w:val="008F0C62"/>
    <w:rsid w:val="008F277B"/>
    <w:rsid w:val="008F57CD"/>
    <w:rsid w:val="0091200D"/>
    <w:rsid w:val="00923BDD"/>
    <w:rsid w:val="00932741"/>
    <w:rsid w:val="00977427"/>
    <w:rsid w:val="0098742A"/>
    <w:rsid w:val="009B1920"/>
    <w:rsid w:val="009B1E81"/>
    <w:rsid w:val="009B53C6"/>
    <w:rsid w:val="00A07D34"/>
    <w:rsid w:val="00A25D3F"/>
    <w:rsid w:val="00A375FB"/>
    <w:rsid w:val="00A408EB"/>
    <w:rsid w:val="00A81670"/>
    <w:rsid w:val="00A92365"/>
    <w:rsid w:val="00AB134F"/>
    <w:rsid w:val="00AB2A06"/>
    <w:rsid w:val="00AD1436"/>
    <w:rsid w:val="00AD7048"/>
    <w:rsid w:val="00AF2110"/>
    <w:rsid w:val="00AF2A63"/>
    <w:rsid w:val="00B040F3"/>
    <w:rsid w:val="00B23F08"/>
    <w:rsid w:val="00B266FF"/>
    <w:rsid w:val="00B45B1D"/>
    <w:rsid w:val="00B66DCC"/>
    <w:rsid w:val="00B80E73"/>
    <w:rsid w:val="00B82A5B"/>
    <w:rsid w:val="00BB7A16"/>
    <w:rsid w:val="00BE6FF4"/>
    <w:rsid w:val="00C0274A"/>
    <w:rsid w:val="00C04964"/>
    <w:rsid w:val="00C21FC2"/>
    <w:rsid w:val="00C401C2"/>
    <w:rsid w:val="00C42DF2"/>
    <w:rsid w:val="00C63ECC"/>
    <w:rsid w:val="00C677FA"/>
    <w:rsid w:val="00C87880"/>
    <w:rsid w:val="00CA7DFE"/>
    <w:rsid w:val="00D22118"/>
    <w:rsid w:val="00D3428F"/>
    <w:rsid w:val="00D40D23"/>
    <w:rsid w:val="00D50F11"/>
    <w:rsid w:val="00D5300A"/>
    <w:rsid w:val="00D65650"/>
    <w:rsid w:val="00D974E2"/>
    <w:rsid w:val="00DC1981"/>
    <w:rsid w:val="00DD30A2"/>
    <w:rsid w:val="00DD5257"/>
    <w:rsid w:val="00E25721"/>
    <w:rsid w:val="00E447DB"/>
    <w:rsid w:val="00E530FF"/>
    <w:rsid w:val="00E66FCF"/>
    <w:rsid w:val="00EA158D"/>
    <w:rsid w:val="00EA6481"/>
    <w:rsid w:val="00EC087F"/>
    <w:rsid w:val="00EE38FA"/>
    <w:rsid w:val="00F323B4"/>
    <w:rsid w:val="00F33399"/>
    <w:rsid w:val="00F37F71"/>
    <w:rsid w:val="00F52815"/>
    <w:rsid w:val="00F53F9D"/>
    <w:rsid w:val="00F57482"/>
    <w:rsid w:val="00F84653"/>
    <w:rsid w:val="00F94C7E"/>
    <w:rsid w:val="00FC180E"/>
    <w:rsid w:val="00FC6A72"/>
    <w:rsid w:val="00FC7023"/>
    <w:rsid w:val="00FE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8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C42DF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481"/>
    <w:rPr>
      <w:color w:val="0000FF"/>
      <w:u w:val="single"/>
    </w:rPr>
  </w:style>
  <w:style w:type="paragraph" w:styleId="PlainText">
    <w:name w:val="Plain Text"/>
    <w:basedOn w:val="Normal"/>
    <w:link w:val="PlainTextChar"/>
    <w:uiPriority w:val="99"/>
    <w:unhideWhenUsed/>
    <w:rsid w:val="00EA6481"/>
    <w:rPr>
      <w:rFonts w:ascii="Consolas" w:hAnsi="Consolas" w:cs="Arial"/>
      <w:sz w:val="21"/>
      <w:szCs w:val="21"/>
    </w:rPr>
  </w:style>
  <w:style w:type="character" w:customStyle="1" w:styleId="PlainTextChar">
    <w:name w:val="Plain Text Char"/>
    <w:basedOn w:val="DefaultParagraphFont"/>
    <w:link w:val="PlainText"/>
    <w:uiPriority w:val="99"/>
    <w:rsid w:val="00EA6481"/>
    <w:rPr>
      <w:rFonts w:ascii="Consolas" w:eastAsia="Calibri" w:hAnsi="Consolas" w:cs="Arial"/>
      <w:sz w:val="21"/>
      <w:szCs w:val="21"/>
    </w:rPr>
  </w:style>
  <w:style w:type="paragraph" w:styleId="NormalWeb">
    <w:name w:val="Normal (Web)"/>
    <w:basedOn w:val="Normal"/>
    <w:uiPriority w:val="99"/>
    <w:unhideWhenUsed/>
    <w:rsid w:val="00EA6481"/>
    <w:pPr>
      <w:spacing w:before="75" w:after="75" w:line="312" w:lineRule="atLeast"/>
    </w:pPr>
    <w:rPr>
      <w:rFonts w:ascii="Arial" w:eastAsia="Times New Roman" w:hAnsi="Arial" w:cs="Arial"/>
      <w:color w:val="313131"/>
      <w:sz w:val="21"/>
      <w:szCs w:val="21"/>
    </w:rPr>
  </w:style>
  <w:style w:type="character" w:styleId="FollowedHyperlink">
    <w:name w:val="FollowedHyperlink"/>
    <w:basedOn w:val="DefaultParagraphFont"/>
    <w:uiPriority w:val="99"/>
    <w:semiHidden/>
    <w:unhideWhenUsed/>
    <w:rsid w:val="00EA6481"/>
    <w:rPr>
      <w:color w:val="800080" w:themeColor="followedHyperlink"/>
      <w:u w:val="single"/>
    </w:rPr>
  </w:style>
  <w:style w:type="paragraph" w:styleId="BalloonText">
    <w:name w:val="Balloon Text"/>
    <w:basedOn w:val="Normal"/>
    <w:link w:val="BalloonTextChar"/>
    <w:uiPriority w:val="99"/>
    <w:semiHidden/>
    <w:unhideWhenUsed/>
    <w:rsid w:val="00EA6481"/>
    <w:rPr>
      <w:rFonts w:ascii="Tahoma" w:hAnsi="Tahoma" w:cs="Tahoma"/>
      <w:sz w:val="16"/>
      <w:szCs w:val="16"/>
    </w:rPr>
  </w:style>
  <w:style w:type="character" w:customStyle="1" w:styleId="BalloonTextChar">
    <w:name w:val="Balloon Text Char"/>
    <w:basedOn w:val="DefaultParagraphFont"/>
    <w:link w:val="BalloonText"/>
    <w:uiPriority w:val="99"/>
    <w:semiHidden/>
    <w:rsid w:val="00EA6481"/>
    <w:rPr>
      <w:rFonts w:ascii="Tahoma" w:eastAsia="Calibri" w:hAnsi="Tahoma" w:cs="Tahoma"/>
      <w:sz w:val="16"/>
      <w:szCs w:val="16"/>
    </w:rPr>
  </w:style>
  <w:style w:type="paragraph" w:styleId="NoSpacing">
    <w:name w:val="No Spacing"/>
    <w:basedOn w:val="Normal"/>
    <w:uiPriority w:val="1"/>
    <w:qFormat/>
    <w:rsid w:val="00F52815"/>
    <w:rPr>
      <w:rFonts w:eastAsiaTheme="minorHAnsi"/>
    </w:rPr>
  </w:style>
  <w:style w:type="character" w:customStyle="1" w:styleId="Heading1Char">
    <w:name w:val="Heading 1 Char"/>
    <w:basedOn w:val="DefaultParagraphFont"/>
    <w:link w:val="Heading1"/>
    <w:uiPriority w:val="9"/>
    <w:rsid w:val="00C42D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E06CC"/>
    <w:rPr>
      <w:b/>
      <w:bCs/>
    </w:rPr>
  </w:style>
  <w:style w:type="character" w:customStyle="1" w:styleId="apple-converted-space">
    <w:name w:val="apple-converted-space"/>
    <w:basedOn w:val="DefaultParagraphFont"/>
    <w:rsid w:val="00447FF3"/>
  </w:style>
  <w:style w:type="character" w:customStyle="1" w:styleId="details">
    <w:name w:val="details"/>
    <w:basedOn w:val="DefaultParagraphFont"/>
    <w:rsid w:val="002109D9"/>
  </w:style>
</w:styles>
</file>

<file path=word/webSettings.xml><?xml version="1.0" encoding="utf-8"?>
<w:webSettings xmlns:r="http://schemas.openxmlformats.org/officeDocument/2006/relationships" xmlns:w="http://schemas.openxmlformats.org/wordprocessingml/2006/main">
  <w:divs>
    <w:div w:id="9986773">
      <w:bodyDiv w:val="1"/>
      <w:marLeft w:val="0"/>
      <w:marRight w:val="0"/>
      <w:marTop w:val="0"/>
      <w:marBottom w:val="0"/>
      <w:divBdr>
        <w:top w:val="none" w:sz="0" w:space="0" w:color="auto"/>
        <w:left w:val="none" w:sz="0" w:space="0" w:color="auto"/>
        <w:bottom w:val="none" w:sz="0" w:space="0" w:color="auto"/>
        <w:right w:val="none" w:sz="0" w:space="0" w:color="auto"/>
      </w:divBdr>
    </w:div>
    <w:div w:id="20594062">
      <w:bodyDiv w:val="1"/>
      <w:marLeft w:val="0"/>
      <w:marRight w:val="0"/>
      <w:marTop w:val="0"/>
      <w:marBottom w:val="0"/>
      <w:divBdr>
        <w:top w:val="none" w:sz="0" w:space="0" w:color="auto"/>
        <w:left w:val="none" w:sz="0" w:space="0" w:color="auto"/>
        <w:bottom w:val="none" w:sz="0" w:space="0" w:color="auto"/>
        <w:right w:val="none" w:sz="0" w:space="0" w:color="auto"/>
      </w:divBdr>
    </w:div>
    <w:div w:id="99764279">
      <w:bodyDiv w:val="1"/>
      <w:marLeft w:val="0"/>
      <w:marRight w:val="0"/>
      <w:marTop w:val="0"/>
      <w:marBottom w:val="0"/>
      <w:divBdr>
        <w:top w:val="none" w:sz="0" w:space="0" w:color="auto"/>
        <w:left w:val="none" w:sz="0" w:space="0" w:color="auto"/>
        <w:bottom w:val="none" w:sz="0" w:space="0" w:color="auto"/>
        <w:right w:val="none" w:sz="0" w:space="0" w:color="auto"/>
      </w:divBdr>
    </w:div>
    <w:div w:id="160432764">
      <w:bodyDiv w:val="1"/>
      <w:marLeft w:val="0"/>
      <w:marRight w:val="0"/>
      <w:marTop w:val="0"/>
      <w:marBottom w:val="0"/>
      <w:divBdr>
        <w:top w:val="none" w:sz="0" w:space="0" w:color="auto"/>
        <w:left w:val="none" w:sz="0" w:space="0" w:color="auto"/>
        <w:bottom w:val="none" w:sz="0" w:space="0" w:color="auto"/>
        <w:right w:val="none" w:sz="0" w:space="0" w:color="auto"/>
      </w:divBdr>
    </w:div>
    <w:div w:id="297032663">
      <w:bodyDiv w:val="1"/>
      <w:marLeft w:val="0"/>
      <w:marRight w:val="0"/>
      <w:marTop w:val="0"/>
      <w:marBottom w:val="0"/>
      <w:divBdr>
        <w:top w:val="none" w:sz="0" w:space="0" w:color="auto"/>
        <w:left w:val="none" w:sz="0" w:space="0" w:color="auto"/>
        <w:bottom w:val="none" w:sz="0" w:space="0" w:color="auto"/>
        <w:right w:val="none" w:sz="0" w:space="0" w:color="auto"/>
      </w:divBdr>
    </w:div>
    <w:div w:id="342166668">
      <w:bodyDiv w:val="1"/>
      <w:marLeft w:val="0"/>
      <w:marRight w:val="0"/>
      <w:marTop w:val="0"/>
      <w:marBottom w:val="0"/>
      <w:divBdr>
        <w:top w:val="none" w:sz="0" w:space="0" w:color="auto"/>
        <w:left w:val="none" w:sz="0" w:space="0" w:color="auto"/>
        <w:bottom w:val="none" w:sz="0" w:space="0" w:color="auto"/>
        <w:right w:val="none" w:sz="0" w:space="0" w:color="auto"/>
      </w:divBdr>
    </w:div>
    <w:div w:id="363990705">
      <w:bodyDiv w:val="1"/>
      <w:marLeft w:val="0"/>
      <w:marRight w:val="0"/>
      <w:marTop w:val="0"/>
      <w:marBottom w:val="0"/>
      <w:divBdr>
        <w:top w:val="none" w:sz="0" w:space="0" w:color="auto"/>
        <w:left w:val="none" w:sz="0" w:space="0" w:color="auto"/>
        <w:bottom w:val="none" w:sz="0" w:space="0" w:color="auto"/>
        <w:right w:val="none" w:sz="0" w:space="0" w:color="auto"/>
      </w:divBdr>
    </w:div>
    <w:div w:id="530460642">
      <w:bodyDiv w:val="1"/>
      <w:marLeft w:val="0"/>
      <w:marRight w:val="0"/>
      <w:marTop w:val="0"/>
      <w:marBottom w:val="0"/>
      <w:divBdr>
        <w:top w:val="none" w:sz="0" w:space="0" w:color="auto"/>
        <w:left w:val="none" w:sz="0" w:space="0" w:color="auto"/>
        <w:bottom w:val="none" w:sz="0" w:space="0" w:color="auto"/>
        <w:right w:val="none" w:sz="0" w:space="0" w:color="auto"/>
      </w:divBdr>
    </w:div>
    <w:div w:id="671495110">
      <w:bodyDiv w:val="1"/>
      <w:marLeft w:val="0"/>
      <w:marRight w:val="0"/>
      <w:marTop w:val="0"/>
      <w:marBottom w:val="0"/>
      <w:divBdr>
        <w:top w:val="none" w:sz="0" w:space="0" w:color="auto"/>
        <w:left w:val="none" w:sz="0" w:space="0" w:color="auto"/>
        <w:bottom w:val="none" w:sz="0" w:space="0" w:color="auto"/>
        <w:right w:val="none" w:sz="0" w:space="0" w:color="auto"/>
      </w:divBdr>
    </w:div>
    <w:div w:id="708724138">
      <w:bodyDiv w:val="1"/>
      <w:marLeft w:val="0"/>
      <w:marRight w:val="0"/>
      <w:marTop w:val="0"/>
      <w:marBottom w:val="0"/>
      <w:divBdr>
        <w:top w:val="none" w:sz="0" w:space="0" w:color="auto"/>
        <w:left w:val="none" w:sz="0" w:space="0" w:color="auto"/>
        <w:bottom w:val="none" w:sz="0" w:space="0" w:color="auto"/>
        <w:right w:val="none" w:sz="0" w:space="0" w:color="auto"/>
      </w:divBdr>
    </w:div>
    <w:div w:id="724060787">
      <w:bodyDiv w:val="1"/>
      <w:marLeft w:val="0"/>
      <w:marRight w:val="0"/>
      <w:marTop w:val="0"/>
      <w:marBottom w:val="0"/>
      <w:divBdr>
        <w:top w:val="none" w:sz="0" w:space="0" w:color="auto"/>
        <w:left w:val="none" w:sz="0" w:space="0" w:color="auto"/>
        <w:bottom w:val="none" w:sz="0" w:space="0" w:color="auto"/>
        <w:right w:val="none" w:sz="0" w:space="0" w:color="auto"/>
      </w:divBdr>
    </w:div>
    <w:div w:id="811361533">
      <w:bodyDiv w:val="1"/>
      <w:marLeft w:val="0"/>
      <w:marRight w:val="0"/>
      <w:marTop w:val="0"/>
      <w:marBottom w:val="0"/>
      <w:divBdr>
        <w:top w:val="none" w:sz="0" w:space="0" w:color="auto"/>
        <w:left w:val="none" w:sz="0" w:space="0" w:color="auto"/>
        <w:bottom w:val="none" w:sz="0" w:space="0" w:color="auto"/>
        <w:right w:val="none" w:sz="0" w:space="0" w:color="auto"/>
      </w:divBdr>
    </w:div>
    <w:div w:id="843979098">
      <w:bodyDiv w:val="1"/>
      <w:marLeft w:val="0"/>
      <w:marRight w:val="0"/>
      <w:marTop w:val="0"/>
      <w:marBottom w:val="0"/>
      <w:divBdr>
        <w:top w:val="none" w:sz="0" w:space="0" w:color="auto"/>
        <w:left w:val="none" w:sz="0" w:space="0" w:color="auto"/>
        <w:bottom w:val="none" w:sz="0" w:space="0" w:color="auto"/>
        <w:right w:val="none" w:sz="0" w:space="0" w:color="auto"/>
      </w:divBdr>
    </w:div>
    <w:div w:id="940256491">
      <w:bodyDiv w:val="1"/>
      <w:marLeft w:val="0"/>
      <w:marRight w:val="0"/>
      <w:marTop w:val="0"/>
      <w:marBottom w:val="0"/>
      <w:divBdr>
        <w:top w:val="none" w:sz="0" w:space="0" w:color="auto"/>
        <w:left w:val="none" w:sz="0" w:space="0" w:color="auto"/>
        <w:bottom w:val="none" w:sz="0" w:space="0" w:color="auto"/>
        <w:right w:val="none" w:sz="0" w:space="0" w:color="auto"/>
      </w:divBdr>
    </w:div>
    <w:div w:id="973289006">
      <w:bodyDiv w:val="1"/>
      <w:marLeft w:val="0"/>
      <w:marRight w:val="0"/>
      <w:marTop w:val="0"/>
      <w:marBottom w:val="0"/>
      <w:divBdr>
        <w:top w:val="none" w:sz="0" w:space="0" w:color="auto"/>
        <w:left w:val="none" w:sz="0" w:space="0" w:color="auto"/>
        <w:bottom w:val="none" w:sz="0" w:space="0" w:color="auto"/>
        <w:right w:val="none" w:sz="0" w:space="0" w:color="auto"/>
      </w:divBdr>
    </w:div>
    <w:div w:id="1091973430">
      <w:bodyDiv w:val="1"/>
      <w:marLeft w:val="0"/>
      <w:marRight w:val="0"/>
      <w:marTop w:val="0"/>
      <w:marBottom w:val="0"/>
      <w:divBdr>
        <w:top w:val="none" w:sz="0" w:space="0" w:color="auto"/>
        <w:left w:val="none" w:sz="0" w:space="0" w:color="auto"/>
        <w:bottom w:val="none" w:sz="0" w:space="0" w:color="auto"/>
        <w:right w:val="none" w:sz="0" w:space="0" w:color="auto"/>
      </w:divBdr>
    </w:div>
    <w:div w:id="1236666246">
      <w:bodyDiv w:val="1"/>
      <w:marLeft w:val="0"/>
      <w:marRight w:val="0"/>
      <w:marTop w:val="0"/>
      <w:marBottom w:val="0"/>
      <w:divBdr>
        <w:top w:val="none" w:sz="0" w:space="0" w:color="auto"/>
        <w:left w:val="none" w:sz="0" w:space="0" w:color="auto"/>
        <w:bottom w:val="none" w:sz="0" w:space="0" w:color="auto"/>
        <w:right w:val="none" w:sz="0" w:space="0" w:color="auto"/>
      </w:divBdr>
    </w:div>
    <w:div w:id="1387142824">
      <w:bodyDiv w:val="1"/>
      <w:marLeft w:val="0"/>
      <w:marRight w:val="0"/>
      <w:marTop w:val="0"/>
      <w:marBottom w:val="0"/>
      <w:divBdr>
        <w:top w:val="none" w:sz="0" w:space="0" w:color="auto"/>
        <w:left w:val="none" w:sz="0" w:space="0" w:color="auto"/>
        <w:bottom w:val="none" w:sz="0" w:space="0" w:color="auto"/>
        <w:right w:val="none" w:sz="0" w:space="0" w:color="auto"/>
      </w:divBdr>
    </w:div>
    <w:div w:id="1387335910">
      <w:bodyDiv w:val="1"/>
      <w:marLeft w:val="0"/>
      <w:marRight w:val="0"/>
      <w:marTop w:val="0"/>
      <w:marBottom w:val="0"/>
      <w:divBdr>
        <w:top w:val="none" w:sz="0" w:space="0" w:color="auto"/>
        <w:left w:val="none" w:sz="0" w:space="0" w:color="auto"/>
        <w:bottom w:val="none" w:sz="0" w:space="0" w:color="auto"/>
        <w:right w:val="none" w:sz="0" w:space="0" w:color="auto"/>
      </w:divBdr>
    </w:div>
    <w:div w:id="1552114742">
      <w:bodyDiv w:val="1"/>
      <w:marLeft w:val="0"/>
      <w:marRight w:val="0"/>
      <w:marTop w:val="0"/>
      <w:marBottom w:val="0"/>
      <w:divBdr>
        <w:top w:val="none" w:sz="0" w:space="0" w:color="auto"/>
        <w:left w:val="none" w:sz="0" w:space="0" w:color="auto"/>
        <w:bottom w:val="none" w:sz="0" w:space="0" w:color="auto"/>
        <w:right w:val="none" w:sz="0" w:space="0" w:color="auto"/>
      </w:divBdr>
    </w:div>
    <w:div w:id="1659114310">
      <w:bodyDiv w:val="1"/>
      <w:marLeft w:val="0"/>
      <w:marRight w:val="0"/>
      <w:marTop w:val="0"/>
      <w:marBottom w:val="0"/>
      <w:divBdr>
        <w:top w:val="none" w:sz="0" w:space="0" w:color="auto"/>
        <w:left w:val="none" w:sz="0" w:space="0" w:color="auto"/>
        <w:bottom w:val="none" w:sz="0" w:space="0" w:color="auto"/>
        <w:right w:val="none" w:sz="0" w:space="0" w:color="auto"/>
      </w:divBdr>
    </w:div>
    <w:div w:id="1703744801">
      <w:bodyDiv w:val="1"/>
      <w:marLeft w:val="0"/>
      <w:marRight w:val="0"/>
      <w:marTop w:val="0"/>
      <w:marBottom w:val="0"/>
      <w:divBdr>
        <w:top w:val="none" w:sz="0" w:space="0" w:color="auto"/>
        <w:left w:val="none" w:sz="0" w:space="0" w:color="auto"/>
        <w:bottom w:val="none" w:sz="0" w:space="0" w:color="auto"/>
        <w:right w:val="none" w:sz="0" w:space="0" w:color="auto"/>
      </w:divBdr>
    </w:div>
    <w:div w:id="1883177493">
      <w:bodyDiv w:val="1"/>
      <w:marLeft w:val="0"/>
      <w:marRight w:val="0"/>
      <w:marTop w:val="0"/>
      <w:marBottom w:val="0"/>
      <w:divBdr>
        <w:top w:val="none" w:sz="0" w:space="0" w:color="auto"/>
        <w:left w:val="none" w:sz="0" w:space="0" w:color="auto"/>
        <w:bottom w:val="none" w:sz="0" w:space="0" w:color="auto"/>
        <w:right w:val="none" w:sz="0" w:space="0" w:color="auto"/>
      </w:divBdr>
    </w:div>
    <w:div w:id="1904876370">
      <w:bodyDiv w:val="1"/>
      <w:marLeft w:val="0"/>
      <w:marRight w:val="0"/>
      <w:marTop w:val="0"/>
      <w:marBottom w:val="0"/>
      <w:divBdr>
        <w:top w:val="none" w:sz="0" w:space="0" w:color="auto"/>
        <w:left w:val="none" w:sz="0" w:space="0" w:color="auto"/>
        <w:bottom w:val="none" w:sz="0" w:space="0" w:color="auto"/>
        <w:right w:val="none" w:sz="0" w:space="0" w:color="auto"/>
      </w:divBdr>
    </w:div>
    <w:div w:id="1933666327">
      <w:bodyDiv w:val="1"/>
      <w:marLeft w:val="0"/>
      <w:marRight w:val="0"/>
      <w:marTop w:val="0"/>
      <w:marBottom w:val="0"/>
      <w:divBdr>
        <w:top w:val="none" w:sz="0" w:space="0" w:color="auto"/>
        <w:left w:val="none" w:sz="0" w:space="0" w:color="auto"/>
        <w:bottom w:val="none" w:sz="0" w:space="0" w:color="auto"/>
        <w:right w:val="none" w:sz="0" w:space="0" w:color="auto"/>
      </w:divBdr>
    </w:div>
    <w:div w:id="2012222626">
      <w:bodyDiv w:val="1"/>
      <w:marLeft w:val="0"/>
      <w:marRight w:val="0"/>
      <w:marTop w:val="0"/>
      <w:marBottom w:val="0"/>
      <w:divBdr>
        <w:top w:val="none" w:sz="0" w:space="0" w:color="auto"/>
        <w:left w:val="none" w:sz="0" w:space="0" w:color="auto"/>
        <w:bottom w:val="none" w:sz="0" w:space="0" w:color="auto"/>
        <w:right w:val="none" w:sz="0" w:space="0" w:color="auto"/>
      </w:divBdr>
    </w:div>
    <w:div w:id="20452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punj.edu/osp/narratives-and-budgets.dot" TargetMode="External"/><Relationship Id="rId18" Type="http://schemas.openxmlformats.org/officeDocument/2006/relationships/hyperlink" Target="http://pivot.cos.com/funding_opps/126991" TargetMode="External"/><Relationship Id="rId26" Type="http://schemas.openxmlformats.org/officeDocument/2006/relationships/hyperlink" Target="http://grants.nih.gov/grants/guide/pa-files/PA-11-138.html" TargetMode="External"/><Relationship Id="rId39" Type="http://schemas.openxmlformats.org/officeDocument/2006/relationships/hyperlink" Target="http://pivot.cos.com/funding_opps/128885" TargetMode="External"/><Relationship Id="rId3" Type="http://schemas.openxmlformats.org/officeDocument/2006/relationships/webSettings" Target="webSettings.xml"/><Relationship Id="rId21" Type="http://schemas.openxmlformats.org/officeDocument/2006/relationships/hyperlink" Target="http://www.epa.gov/ncer/rfa/2014/2014_p3.html" TargetMode="External"/><Relationship Id="rId34" Type="http://schemas.openxmlformats.org/officeDocument/2006/relationships/hyperlink" Target="http://www.magnetmail1.net/link.cfm?r=1272232034&amp;sid=27805751&amp;m=3105333&amp;u=AASCU&amp;j=15589701&amp;s=http://www.grants.gov/view-opportunity.html?oppId=246093" TargetMode="External"/><Relationship Id="rId42" Type="http://schemas.openxmlformats.org/officeDocument/2006/relationships/hyperlink" Target="http://grants.nih.gov/grants/guide/pa-files/PA-11-327.html" TargetMode="External"/><Relationship Id="rId47" Type="http://schemas.openxmlformats.org/officeDocument/2006/relationships/hyperlink" Target="http://www.wpunj.edu/osp/dui/index.dot" TargetMode="External"/><Relationship Id="rId50" Type="http://schemas.openxmlformats.org/officeDocument/2006/relationships/hyperlink" Target="http://www.wpunj.edu/osp" TargetMode="External"/><Relationship Id="rId7" Type="http://schemas.openxmlformats.org/officeDocument/2006/relationships/image" Target="media/image2.wmf"/><Relationship Id="rId12" Type="http://schemas.openxmlformats.org/officeDocument/2006/relationships/hyperlink" Target="http://www.wpunj.edu/osp/preparing-proposals.dot" TargetMode="External"/><Relationship Id="rId17" Type="http://schemas.openxmlformats.org/officeDocument/2006/relationships/hyperlink" Target="http://grants.nih.gov/grants/guide/pa-files/PA-11-138.html" TargetMode="External"/><Relationship Id="rId25" Type="http://schemas.openxmlformats.org/officeDocument/2006/relationships/hyperlink" Target="http://pivot.cos.com/funding_opps/128885" TargetMode="External"/><Relationship Id="rId33" Type="http://schemas.openxmlformats.org/officeDocument/2006/relationships/hyperlink" Target="http://www.magnetmail1.net/link.cfm?r=1272232034&amp;sid=27805750&amp;m=3105333&amp;u=AASCU&amp;j=15589701&amp;s=http://www.imls.gov/applicants/detail.aspx?GrantId=14" TargetMode="External"/><Relationship Id="rId38" Type="http://schemas.openxmlformats.org/officeDocument/2006/relationships/hyperlink" Target="http://orise.orau.gov/doescholars/default.htm" TargetMode="External"/><Relationship Id="rId46" Type="http://schemas.openxmlformats.org/officeDocument/2006/relationships/hyperlink" Target="http://ezproxy.wpunj.edu:2048/login?url=http://pivot.cos.com" TargetMode="External"/><Relationship Id="rId2" Type="http://schemas.openxmlformats.org/officeDocument/2006/relationships/settings" Target="settings.xml"/><Relationship Id="rId16" Type="http://schemas.openxmlformats.org/officeDocument/2006/relationships/hyperlink" Target="http://pivot.cos.com/funding_opps/128885" TargetMode="External"/><Relationship Id="rId20" Type="http://schemas.openxmlformats.org/officeDocument/2006/relationships/hyperlink" Target="http://orise.orau.gov/doescholars/default.htm" TargetMode="External"/><Relationship Id="rId29" Type="http://schemas.openxmlformats.org/officeDocument/2006/relationships/hyperlink" Target="http://pivot.cos.com/funding_opps/132176" TargetMode="External"/><Relationship Id="rId41" Type="http://schemas.openxmlformats.org/officeDocument/2006/relationships/hyperlink" Target="http://pivot.cos.com/funding_opps/132176" TargetMode="External"/><Relationship Id="rId1" Type="http://schemas.openxmlformats.org/officeDocument/2006/relationships/styles" Target="styles.xml"/><Relationship Id="rId6" Type="http://schemas.openxmlformats.org/officeDocument/2006/relationships/hyperlink" Target="http://www.wpunj.edu/osp" TargetMode="External"/><Relationship Id="rId11" Type="http://schemas.openxmlformats.org/officeDocument/2006/relationships/hyperlink" Target="http://www.wpunj.edu/osp/irb/index.dot" TargetMode="External"/><Relationship Id="rId24" Type="http://schemas.openxmlformats.org/officeDocument/2006/relationships/hyperlink" Target="http://grants.nih.gov/grants/guide/pa-files/PA-11-015.html" TargetMode="External"/><Relationship Id="rId32" Type="http://schemas.openxmlformats.org/officeDocument/2006/relationships/hyperlink" Target="http://www.magnetmail1.net/link.cfm?r=1272232034&amp;sid=27805751&amp;m=3105333&amp;u=AASCU&amp;j=15589701&amp;s=http://www.grants.gov/view-opportunity.html?oppId=246093" TargetMode="External"/><Relationship Id="rId37" Type="http://schemas.openxmlformats.org/officeDocument/2006/relationships/hyperlink" Target="http://www.epa.gov/ncer/rfa/2014/2014_p3.html" TargetMode="External"/><Relationship Id="rId40" Type="http://schemas.openxmlformats.org/officeDocument/2006/relationships/hyperlink" Target="http://grants.nih.gov/grants/guide/pa-files/PA-11-138.html" TargetMode="External"/><Relationship Id="rId45" Type="http://schemas.openxmlformats.org/officeDocument/2006/relationships/hyperlink" Target="http://www.aascu.org/grc/" TargetMode="External"/><Relationship Id="rId5" Type="http://schemas.openxmlformats.org/officeDocument/2006/relationships/hyperlink" Target="mailto:grants@wpunj.edu" TargetMode="External"/><Relationship Id="rId15" Type="http://schemas.openxmlformats.org/officeDocument/2006/relationships/hyperlink" Target="http://www.wpunj.edu/osp/funding-opportunities.dot" TargetMode="External"/><Relationship Id="rId23" Type="http://schemas.openxmlformats.org/officeDocument/2006/relationships/hyperlink" Target="http://pivot.cos.com/funding_opps/126991" TargetMode="External"/><Relationship Id="rId28" Type="http://schemas.openxmlformats.org/officeDocument/2006/relationships/hyperlink" Target="http://grants.nih.gov/grants/guide/pa-files/PAR-12-198.html" TargetMode="External"/><Relationship Id="rId36" Type="http://schemas.openxmlformats.org/officeDocument/2006/relationships/hyperlink" Target="http://orise.orau.gov/doescholars/default.htm" TargetMode="External"/><Relationship Id="rId49" Type="http://schemas.openxmlformats.org/officeDocument/2006/relationships/hyperlink" Target="http://www.wpunj.edu/osp/funding-opportunities/index.dot" TargetMode="External"/><Relationship Id="rId10" Type="http://schemas.openxmlformats.org/officeDocument/2006/relationships/hyperlink" Target="http://www.wpunj.edu/osp/workshops.dot" TargetMode="External"/><Relationship Id="rId19" Type="http://schemas.openxmlformats.org/officeDocument/2006/relationships/hyperlink" Target="http://grants.nih.gov/grants/guide/pa-files/PA-11-015.html" TargetMode="External"/><Relationship Id="rId31" Type="http://schemas.openxmlformats.org/officeDocument/2006/relationships/hyperlink" Target="http://www.magnetmail1.net/link.cfm?r=1272232034&amp;sid=27805750&amp;m=3105333&amp;u=AASCU&amp;j=15589701&amp;s=http://www.imls.gov/applicants/detail.aspx?GrantId=14" TargetMode="External"/><Relationship Id="rId44" Type="http://schemas.openxmlformats.org/officeDocument/2006/relationships/hyperlink" Target="http://www.aascu.org/gsmodule/"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wpunj.edu/osp/workshops.dot" TargetMode="External"/><Relationship Id="rId14" Type="http://schemas.openxmlformats.org/officeDocument/2006/relationships/hyperlink" Target="http://www.wpunj.edu/osp/recent-awards.dot" TargetMode="External"/><Relationship Id="rId22" Type="http://schemas.openxmlformats.org/officeDocument/2006/relationships/hyperlink" Target="http://orise.orau.gov/doescholars/default.htm" TargetMode="External"/><Relationship Id="rId27" Type="http://schemas.openxmlformats.org/officeDocument/2006/relationships/hyperlink" Target="http://pivot.cos.com/funding_opps/119787" TargetMode="External"/><Relationship Id="rId30" Type="http://schemas.openxmlformats.org/officeDocument/2006/relationships/hyperlink" Target="http://grants.nih.gov/grants/guide/pa-files/PA-11-327.html" TargetMode="External"/><Relationship Id="rId35" Type="http://schemas.openxmlformats.org/officeDocument/2006/relationships/hyperlink" Target="http://www.epa.gov/ncer/rfa/2014/2014_p3.html" TargetMode="External"/><Relationship Id="rId43" Type="http://schemas.openxmlformats.org/officeDocument/2006/relationships/hyperlink" Target="http://orise.orau.gov/doescholars/default.htm" TargetMode="External"/><Relationship Id="rId48" Type="http://schemas.openxmlformats.org/officeDocument/2006/relationships/hyperlink" Target="http://www.grants.gov/" TargetMode="External"/><Relationship Id="rId8" Type="http://schemas.openxmlformats.org/officeDocument/2006/relationships/hyperlink" Target="http://www.wpunj.edu/osp/index.do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61</cp:revision>
  <dcterms:created xsi:type="dcterms:W3CDTF">2013-10-31T18:13:00Z</dcterms:created>
  <dcterms:modified xsi:type="dcterms:W3CDTF">2013-11-06T16:56:00Z</dcterms:modified>
</cp:coreProperties>
</file>