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41"/>
        <w:tblW w:w="9938" w:type="dxa"/>
        <w:tblLayout w:type="fixed"/>
        <w:tblCellMar>
          <w:left w:w="0" w:type="dxa"/>
          <w:right w:w="0" w:type="dxa"/>
        </w:tblCellMar>
        <w:tblLook w:val="04A0" w:firstRow="1" w:lastRow="0" w:firstColumn="1" w:lastColumn="0" w:noHBand="0" w:noVBand="1"/>
      </w:tblPr>
      <w:tblGrid>
        <w:gridCol w:w="1456"/>
        <w:gridCol w:w="1456"/>
        <w:gridCol w:w="381"/>
        <w:gridCol w:w="1074"/>
        <w:gridCol w:w="1131"/>
        <w:gridCol w:w="547"/>
        <w:gridCol w:w="563"/>
        <w:gridCol w:w="871"/>
        <w:gridCol w:w="1073"/>
        <w:gridCol w:w="1359"/>
        <w:gridCol w:w="27"/>
      </w:tblGrid>
      <w:tr w:rsidR="00C86CBC" w:rsidTr="000C5608">
        <w:trPr>
          <w:trHeight w:val="1353"/>
        </w:trPr>
        <w:tc>
          <w:tcPr>
            <w:tcW w:w="3293" w:type="dxa"/>
            <w:gridSpan w:val="3"/>
            <w:shd w:val="clear" w:color="auto" w:fill="CEC9C8"/>
            <w:tcMar>
              <w:top w:w="0" w:type="dxa"/>
              <w:left w:w="108" w:type="dxa"/>
              <w:bottom w:w="0" w:type="dxa"/>
              <w:right w:w="108" w:type="dxa"/>
            </w:tcMar>
            <w:hideMark/>
          </w:tcPr>
          <w:p w:rsidR="00782340" w:rsidRDefault="00782340" w:rsidP="000C5608">
            <w:pPr>
              <w:spacing w:line="276" w:lineRule="auto"/>
              <w:jc w:val="center"/>
              <w:rPr>
                <w:rFonts w:eastAsiaTheme="minorHAnsi"/>
                <w:b/>
                <w:bCs/>
                <w:i/>
                <w:iCs/>
                <w:color w:val="3378CB"/>
              </w:rPr>
            </w:pPr>
            <w:r>
              <w:rPr>
                <w:noProof/>
                <w:sz w:val="20"/>
                <w:szCs w:val="20"/>
              </w:rPr>
              <w:drawing>
                <wp:inline distT="0" distB="0" distL="0" distR="0" wp14:anchorId="798446F9" wp14:editId="62A3A4CF">
                  <wp:extent cx="1590675" cy="1009650"/>
                  <wp:effectExtent l="0" t="0" r="0" b="0"/>
                  <wp:docPr id="2" name="Picture 2"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logo_wp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009650"/>
                          </a:xfrm>
                          <a:prstGeom prst="rect">
                            <a:avLst/>
                          </a:prstGeom>
                          <a:noFill/>
                          <a:ln>
                            <a:noFill/>
                          </a:ln>
                        </pic:spPr>
                      </pic:pic>
                    </a:graphicData>
                  </a:graphic>
                </wp:inline>
              </w:drawing>
            </w:r>
          </w:p>
        </w:tc>
        <w:tc>
          <w:tcPr>
            <w:tcW w:w="3315" w:type="dxa"/>
            <w:gridSpan w:val="4"/>
            <w:shd w:val="clear" w:color="auto" w:fill="CEC9C8"/>
            <w:tcMar>
              <w:top w:w="0" w:type="dxa"/>
              <w:left w:w="108" w:type="dxa"/>
              <w:bottom w:w="0" w:type="dxa"/>
              <w:right w:w="108" w:type="dxa"/>
            </w:tcMar>
            <w:vAlign w:val="center"/>
          </w:tcPr>
          <w:p w:rsidR="00782340" w:rsidRDefault="00782340" w:rsidP="000C5608">
            <w:pPr>
              <w:jc w:val="center"/>
              <w:rPr>
                <w:rFonts w:eastAsiaTheme="minorHAnsi" w:cstheme="minorBidi"/>
                <w:b/>
                <w:bCs/>
                <w:i/>
                <w:iCs/>
                <w:color w:val="000000"/>
                <w:sz w:val="24"/>
                <w:szCs w:val="24"/>
              </w:rPr>
            </w:pPr>
            <w:r>
              <w:rPr>
                <w:b/>
                <w:bCs/>
                <w:i/>
                <w:iCs/>
                <w:color w:val="000000"/>
                <w:sz w:val="24"/>
                <w:szCs w:val="24"/>
              </w:rPr>
              <w:t>Office of Sponsored Programs</w:t>
            </w:r>
          </w:p>
          <w:p w:rsidR="00782340" w:rsidRDefault="00782340" w:rsidP="000C5608">
            <w:pPr>
              <w:jc w:val="center"/>
              <w:rPr>
                <w:rFonts w:asciiTheme="minorHAnsi" w:eastAsiaTheme="minorEastAsia" w:hAnsiTheme="minorHAnsi"/>
                <w:b/>
                <w:bCs/>
                <w:i/>
                <w:iCs/>
                <w:color w:val="000000"/>
                <w:sz w:val="24"/>
                <w:szCs w:val="24"/>
              </w:rPr>
            </w:pPr>
            <w:proofErr w:type="spellStart"/>
            <w:r>
              <w:rPr>
                <w:b/>
                <w:bCs/>
                <w:i/>
                <w:iCs/>
                <w:color w:val="000000"/>
                <w:sz w:val="24"/>
                <w:szCs w:val="24"/>
              </w:rPr>
              <w:t>Raubinger</w:t>
            </w:r>
            <w:proofErr w:type="spellEnd"/>
            <w:r>
              <w:rPr>
                <w:b/>
                <w:bCs/>
                <w:i/>
                <w:iCs/>
                <w:color w:val="000000"/>
                <w:sz w:val="24"/>
                <w:szCs w:val="24"/>
              </w:rPr>
              <w:t xml:space="preserve"> Hall 309</w:t>
            </w:r>
          </w:p>
          <w:p w:rsidR="00782340" w:rsidRDefault="00782340" w:rsidP="000C5608">
            <w:pPr>
              <w:jc w:val="center"/>
              <w:rPr>
                <w:b/>
                <w:bCs/>
                <w:i/>
                <w:iCs/>
                <w:color w:val="000000"/>
                <w:sz w:val="24"/>
                <w:szCs w:val="24"/>
              </w:rPr>
            </w:pPr>
            <w:r>
              <w:rPr>
                <w:b/>
                <w:bCs/>
                <w:i/>
                <w:iCs/>
                <w:color w:val="000000"/>
                <w:sz w:val="24"/>
                <w:szCs w:val="24"/>
              </w:rPr>
              <w:t>973-720-2852</w:t>
            </w:r>
          </w:p>
          <w:p w:rsidR="00782340" w:rsidRPr="00C4184E" w:rsidRDefault="00E64DCD" w:rsidP="000C5608">
            <w:pPr>
              <w:jc w:val="center"/>
              <w:rPr>
                <w:rStyle w:val="Hyperlink"/>
                <w:sz w:val="24"/>
                <w:szCs w:val="24"/>
              </w:rPr>
            </w:pPr>
            <w:hyperlink r:id="rId7" w:history="1">
              <w:r w:rsidR="00782340" w:rsidRPr="00C4184E">
                <w:rPr>
                  <w:rStyle w:val="Hyperlink"/>
                  <w:b/>
                  <w:sz w:val="24"/>
                  <w:szCs w:val="24"/>
                </w:rPr>
                <w:t>grants@wpunj.edu</w:t>
              </w:r>
            </w:hyperlink>
          </w:p>
          <w:p w:rsidR="00782340" w:rsidRPr="00782340" w:rsidRDefault="00E64DCD" w:rsidP="000C5608">
            <w:pPr>
              <w:jc w:val="center"/>
              <w:rPr>
                <w:b/>
                <w:bCs/>
                <w:i/>
                <w:iCs/>
                <w:color w:val="3378CB"/>
              </w:rPr>
            </w:pPr>
            <w:hyperlink r:id="rId8" w:history="1">
              <w:r w:rsidR="00782340" w:rsidRPr="00C4184E">
                <w:rPr>
                  <w:rStyle w:val="Hyperlink"/>
                  <w:b/>
                  <w:sz w:val="24"/>
                  <w:szCs w:val="24"/>
                </w:rPr>
                <w:t>www.wpunj.edu/osp</w:t>
              </w:r>
            </w:hyperlink>
          </w:p>
        </w:tc>
        <w:tc>
          <w:tcPr>
            <w:tcW w:w="3330" w:type="dxa"/>
            <w:gridSpan w:val="4"/>
            <w:shd w:val="clear" w:color="auto" w:fill="CEC9C8"/>
            <w:tcMar>
              <w:top w:w="0" w:type="dxa"/>
              <w:left w:w="108" w:type="dxa"/>
              <w:bottom w:w="0" w:type="dxa"/>
              <w:right w:w="108" w:type="dxa"/>
            </w:tcMar>
            <w:hideMark/>
          </w:tcPr>
          <w:p w:rsidR="00782340" w:rsidRDefault="00F124A1" w:rsidP="000C5608">
            <w:pPr>
              <w:spacing w:line="276" w:lineRule="auto"/>
              <w:jc w:val="right"/>
              <w:rPr>
                <w:rFonts w:eastAsiaTheme="minorHAnsi"/>
                <w:b/>
                <w:bCs/>
                <w:i/>
                <w:iCs/>
                <w:color w:val="3378CB"/>
              </w:rPr>
            </w:pPr>
            <w:r>
              <w:rPr>
                <w:rFonts w:eastAsiaTheme="minorHAnsi"/>
                <w:b/>
                <w:i/>
                <w:noProof/>
                <w:color w:val="3378CB"/>
              </w:rPr>
              <w:drawing>
                <wp:anchor distT="0" distB="0" distL="114300" distR="114300" simplePos="0" relativeHeight="251658240" behindDoc="0" locked="0" layoutInCell="1" allowOverlap="1" wp14:anchorId="3AF677AF" wp14:editId="1C5A504A">
                  <wp:simplePos x="0" y="0"/>
                  <wp:positionH relativeFrom="column">
                    <wp:posOffset>1214120</wp:posOffset>
                  </wp:positionH>
                  <wp:positionV relativeFrom="paragraph">
                    <wp:posOffset>72389</wp:posOffset>
                  </wp:positionV>
                  <wp:extent cx="604358" cy="866775"/>
                  <wp:effectExtent l="0" t="0" r="5715" b="0"/>
                  <wp:wrapNone/>
                  <wp:docPr id="4" name="Picture 4" descr="C:\Users\grants\AppData\Local\Microsoft\Windows\Temporary Internet Files\Content.IE5\66HJZ6BD\MC9004462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nts\AppData\Local\Microsoft\Windows\Temporary Internet Files\Content.IE5\66HJZ6BD\MC90044625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358"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B681D" w:rsidRPr="00D064FA" w:rsidTr="000C5608">
        <w:trPr>
          <w:trHeight w:val="446"/>
        </w:trPr>
        <w:tc>
          <w:tcPr>
            <w:tcW w:w="7479" w:type="dxa"/>
            <w:gridSpan w:val="8"/>
            <w:tcBorders>
              <w:bottom w:val="single" w:sz="12" w:space="0" w:color="auto"/>
            </w:tcBorders>
            <w:shd w:val="clear" w:color="auto" w:fill="FFC000"/>
            <w:tcMar>
              <w:top w:w="0" w:type="dxa"/>
              <w:left w:w="108" w:type="dxa"/>
              <w:bottom w:w="0" w:type="dxa"/>
              <w:right w:w="108" w:type="dxa"/>
            </w:tcMar>
            <w:vAlign w:val="center"/>
          </w:tcPr>
          <w:p w:rsidR="00782340" w:rsidRPr="00B01A3F" w:rsidRDefault="00782340" w:rsidP="000C5608">
            <w:pPr>
              <w:rPr>
                <w:rFonts w:asciiTheme="minorHAnsi" w:hAnsiTheme="minorHAnsi" w:cs="Arial"/>
                <w:b/>
                <w:iCs/>
                <w:sz w:val="32"/>
                <w:szCs w:val="28"/>
              </w:rPr>
            </w:pPr>
            <w:r w:rsidRPr="00B01A3F">
              <w:rPr>
                <w:rFonts w:asciiTheme="minorHAnsi" w:hAnsiTheme="minorHAnsi" w:cs="Arial"/>
                <w:b/>
                <w:iCs/>
                <w:sz w:val="32"/>
                <w:szCs w:val="28"/>
              </w:rPr>
              <w:t xml:space="preserve">Funding Opportunities Newsletter                                           </w:t>
            </w:r>
          </w:p>
        </w:tc>
        <w:tc>
          <w:tcPr>
            <w:tcW w:w="2459" w:type="dxa"/>
            <w:gridSpan w:val="3"/>
            <w:tcBorders>
              <w:bottom w:val="single" w:sz="12" w:space="0" w:color="auto"/>
            </w:tcBorders>
            <w:shd w:val="clear" w:color="auto" w:fill="FFC000"/>
            <w:vAlign w:val="center"/>
          </w:tcPr>
          <w:p w:rsidR="00782340" w:rsidRPr="00B01A3F" w:rsidRDefault="008D2A61" w:rsidP="000C5608">
            <w:pPr>
              <w:jc w:val="right"/>
              <w:rPr>
                <w:rFonts w:asciiTheme="minorHAnsi" w:hAnsiTheme="minorHAnsi" w:cs="Arial"/>
                <w:b/>
                <w:iCs/>
                <w:sz w:val="32"/>
                <w:szCs w:val="28"/>
              </w:rPr>
            </w:pPr>
            <w:r>
              <w:rPr>
                <w:rFonts w:asciiTheme="minorHAnsi" w:hAnsiTheme="minorHAnsi" w:cs="Arial"/>
                <w:b/>
                <w:iCs/>
                <w:sz w:val="32"/>
                <w:szCs w:val="28"/>
              </w:rPr>
              <w:t>May</w:t>
            </w:r>
            <w:r w:rsidR="002D643B" w:rsidRPr="00B01A3F">
              <w:rPr>
                <w:rFonts w:asciiTheme="minorHAnsi" w:hAnsiTheme="minorHAnsi" w:cs="Arial"/>
                <w:b/>
                <w:iCs/>
                <w:sz w:val="32"/>
                <w:szCs w:val="28"/>
              </w:rPr>
              <w:t xml:space="preserve"> </w:t>
            </w:r>
            <w:r>
              <w:rPr>
                <w:rFonts w:asciiTheme="minorHAnsi" w:hAnsiTheme="minorHAnsi" w:cs="Arial"/>
                <w:b/>
                <w:iCs/>
                <w:sz w:val="32"/>
                <w:szCs w:val="28"/>
              </w:rPr>
              <w:t>2</w:t>
            </w:r>
            <w:r w:rsidR="002D643B" w:rsidRPr="00B01A3F">
              <w:rPr>
                <w:rFonts w:asciiTheme="minorHAnsi" w:hAnsiTheme="minorHAnsi" w:cs="Arial"/>
                <w:b/>
                <w:iCs/>
                <w:sz w:val="32"/>
                <w:szCs w:val="28"/>
              </w:rPr>
              <w:t>2</w:t>
            </w:r>
            <w:r w:rsidR="00782340" w:rsidRPr="00B01A3F">
              <w:rPr>
                <w:rFonts w:asciiTheme="minorHAnsi" w:hAnsiTheme="minorHAnsi" w:cs="Arial"/>
                <w:b/>
                <w:iCs/>
                <w:sz w:val="32"/>
                <w:szCs w:val="28"/>
              </w:rPr>
              <w:t>, 201</w:t>
            </w:r>
            <w:r w:rsidR="00D80A39" w:rsidRPr="00B01A3F">
              <w:rPr>
                <w:rFonts w:asciiTheme="minorHAnsi" w:hAnsiTheme="minorHAnsi" w:cs="Arial"/>
                <w:b/>
                <w:iCs/>
                <w:sz w:val="32"/>
                <w:szCs w:val="28"/>
              </w:rPr>
              <w:t xml:space="preserve">4  </w:t>
            </w:r>
          </w:p>
        </w:tc>
      </w:tr>
      <w:tr w:rsidR="00A93BF5" w:rsidRPr="00D064FA" w:rsidTr="000C5608">
        <w:trPr>
          <w:trHeight w:val="360"/>
        </w:trPr>
        <w:tc>
          <w:tcPr>
            <w:tcW w:w="9938" w:type="dxa"/>
            <w:gridSpan w:val="11"/>
            <w:tcBorders>
              <w:bottom w:val="single" w:sz="12" w:space="0" w:color="auto"/>
            </w:tcBorders>
            <w:shd w:val="clear" w:color="auto" w:fill="auto"/>
            <w:tcMar>
              <w:top w:w="0" w:type="dxa"/>
              <w:left w:w="108" w:type="dxa"/>
              <w:bottom w:w="0" w:type="dxa"/>
              <w:right w:w="108" w:type="dxa"/>
            </w:tcMar>
            <w:vAlign w:val="center"/>
          </w:tcPr>
          <w:p w:rsidR="00A93BF5" w:rsidRPr="00B01A3F" w:rsidRDefault="00A93BF5" w:rsidP="000C5608">
            <w:pPr>
              <w:jc w:val="center"/>
              <w:rPr>
                <w:rFonts w:asciiTheme="minorHAnsi" w:hAnsiTheme="minorHAnsi" w:cs="Arial"/>
                <w:b/>
                <w:iCs/>
                <w:sz w:val="36"/>
                <w:szCs w:val="28"/>
              </w:rPr>
            </w:pPr>
            <w:r w:rsidRPr="00B01A3F">
              <w:rPr>
                <w:rFonts w:asciiTheme="minorHAnsi" w:hAnsiTheme="minorHAnsi"/>
                <w:b/>
                <w:bCs/>
                <w:color w:val="FF0000"/>
                <w:sz w:val="24"/>
                <w:szCs w:val="24"/>
              </w:rPr>
              <w:t>Please contact the Office of Sponsored Programs when you begin working on a proposal.</w:t>
            </w:r>
          </w:p>
        </w:tc>
      </w:tr>
      <w:tr w:rsidR="00243215" w:rsidTr="000C5608">
        <w:trPr>
          <w:gridAfter w:val="1"/>
          <w:wAfter w:w="27" w:type="dxa"/>
          <w:trHeight w:val="335"/>
        </w:trPr>
        <w:tc>
          <w:tcPr>
            <w:tcW w:w="9911" w:type="dxa"/>
            <w:gridSpan w:val="10"/>
            <w:tcBorders>
              <w:top w:val="single" w:sz="12" w:space="0" w:color="auto"/>
            </w:tcBorders>
          </w:tcPr>
          <w:p w:rsidR="00243215" w:rsidRPr="00243215" w:rsidRDefault="00243215" w:rsidP="000C5608">
            <w:pPr>
              <w:jc w:val="center"/>
              <w:rPr>
                <w:b/>
                <w:bCs/>
                <w:color w:val="00B050"/>
                <w:sz w:val="16"/>
                <w:szCs w:val="16"/>
              </w:rPr>
            </w:pPr>
          </w:p>
          <w:p w:rsidR="009E797F" w:rsidRPr="000C5608" w:rsidRDefault="004769DA" w:rsidP="000C5608">
            <w:pPr>
              <w:jc w:val="center"/>
              <w:rPr>
                <w:b/>
                <w:bCs/>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C5608">
              <w:rPr>
                <w:b/>
                <w:bCs/>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NSF Requests Input on Proposal and Award Policies and Procedures</w:t>
            </w:r>
          </w:p>
          <w:p w:rsidR="00C52C53" w:rsidRDefault="004769DA" w:rsidP="000C5608">
            <w:pPr>
              <w:jc w:val="center"/>
              <w:rPr>
                <w:rFonts w:asciiTheme="minorHAnsi" w:hAnsiTheme="minorHAnsi" w:cs="Arial"/>
                <w:szCs w:val="24"/>
              </w:rPr>
            </w:pPr>
            <w:r w:rsidRPr="004769DA">
              <w:rPr>
                <w:rFonts w:asciiTheme="minorHAnsi" w:hAnsiTheme="minorHAnsi" w:cs="Arial"/>
                <w:szCs w:val="24"/>
              </w:rPr>
              <w:t xml:space="preserve">The National Science Foundation (NSF) posted a draft of its revised Proposal and Award Policies and Procedures Guide (PAPPG) to implement the OMB Uniform Guidance, and is asking for comments from the research and education community. Comments should focus only on the implementation and not on the content of the Uniform Guidance. In addition to comments on the PAPPG’s slight deviations from Uniform Guidance, NSF invites comments concerning the usefulness of the information, the accuracy of NSF’s time burden estimates, and efforts to streamline acquisition of information. Comments must be submitted by </w:t>
            </w:r>
          </w:p>
          <w:p w:rsidR="00495D80" w:rsidRPr="00C52C53" w:rsidRDefault="00C52C53" w:rsidP="000C5608">
            <w:pPr>
              <w:jc w:val="center"/>
              <w:rPr>
                <w:rFonts w:asciiTheme="minorHAnsi" w:hAnsiTheme="minorHAnsi" w:cs="Arial"/>
                <w:szCs w:val="24"/>
              </w:rPr>
            </w:pPr>
            <w:r>
              <w:rPr>
                <w:rFonts w:asciiTheme="minorHAnsi" w:hAnsiTheme="minorHAnsi" w:cs="Arial"/>
                <w:b/>
                <w:bCs/>
                <w:szCs w:val="24"/>
              </w:rPr>
              <w:t xml:space="preserve">July </w:t>
            </w:r>
            <w:r w:rsidR="004769DA" w:rsidRPr="004769DA">
              <w:rPr>
                <w:rFonts w:asciiTheme="minorHAnsi" w:hAnsiTheme="minorHAnsi" w:cs="Arial"/>
                <w:b/>
                <w:bCs/>
                <w:szCs w:val="24"/>
              </w:rPr>
              <w:t>8, 2014</w:t>
            </w:r>
            <w:r w:rsidR="004769DA" w:rsidRPr="004769DA">
              <w:rPr>
                <w:rFonts w:asciiTheme="minorHAnsi" w:hAnsiTheme="minorHAnsi" w:cs="Arial"/>
                <w:szCs w:val="24"/>
              </w:rPr>
              <w:t>.</w:t>
            </w:r>
            <w:r w:rsidR="004769DA">
              <w:rPr>
                <w:rFonts w:asciiTheme="minorHAnsi" w:hAnsiTheme="minorHAnsi" w:cs="Arial"/>
                <w:szCs w:val="24"/>
              </w:rPr>
              <w:t xml:space="preserve"> </w:t>
            </w:r>
            <w:r w:rsidR="009D6B1B">
              <w:rPr>
                <w:rFonts w:asciiTheme="minorHAnsi" w:hAnsiTheme="minorHAnsi" w:cs="Arial"/>
                <w:szCs w:val="24"/>
              </w:rPr>
              <w:t xml:space="preserve">The new guidelines are posted </w:t>
            </w:r>
            <w:hyperlink r:id="rId10" w:history="1">
              <w:r w:rsidR="009D6B1B" w:rsidRPr="009D6B1B">
                <w:rPr>
                  <w:rStyle w:val="Hyperlink"/>
                  <w:rFonts w:asciiTheme="minorHAnsi" w:hAnsiTheme="minorHAnsi" w:cs="Arial"/>
                  <w:szCs w:val="24"/>
                </w:rPr>
                <w:t>here</w:t>
              </w:r>
            </w:hyperlink>
            <w:r w:rsidR="009D6B1B">
              <w:rPr>
                <w:rFonts w:asciiTheme="minorHAnsi" w:hAnsiTheme="minorHAnsi" w:cs="Arial"/>
                <w:szCs w:val="24"/>
              </w:rPr>
              <w:t xml:space="preserve"> for review. For more information, visit </w:t>
            </w:r>
            <w:hyperlink r:id="rId11" w:history="1">
              <w:r w:rsidR="009D6B1B" w:rsidRPr="009D6B1B">
                <w:rPr>
                  <w:rStyle w:val="Hyperlink"/>
                  <w:rFonts w:asciiTheme="minorHAnsi" w:hAnsiTheme="minorHAnsi" w:cs="Arial"/>
                  <w:szCs w:val="24"/>
                </w:rPr>
                <w:t>Federal Register</w:t>
              </w:r>
            </w:hyperlink>
          </w:p>
          <w:p w:rsidR="000C5608" w:rsidRPr="000C5608" w:rsidRDefault="000C5608" w:rsidP="000C5608">
            <w:pPr>
              <w:jc w:val="center"/>
              <w:rPr>
                <w:rFonts w:asciiTheme="minorHAnsi" w:hAnsiTheme="minorHAnsi" w:cs="Arial"/>
                <w:sz w:val="16"/>
                <w:szCs w:val="16"/>
              </w:rPr>
            </w:pPr>
          </w:p>
        </w:tc>
      </w:tr>
      <w:tr w:rsidR="00C30CF1" w:rsidTr="000C5608">
        <w:trPr>
          <w:gridAfter w:val="1"/>
          <w:wAfter w:w="27" w:type="dxa"/>
          <w:trHeight w:val="7533"/>
        </w:trPr>
        <w:tc>
          <w:tcPr>
            <w:tcW w:w="5498" w:type="dxa"/>
            <w:gridSpan w:val="5"/>
            <w:tcBorders>
              <w:top w:val="single" w:sz="12" w:space="0" w:color="auto"/>
              <w:right w:val="single" w:sz="12" w:space="0" w:color="auto"/>
            </w:tcBorders>
          </w:tcPr>
          <w:p w:rsidR="001E276B" w:rsidRDefault="000A16D5" w:rsidP="000C5608">
            <w:pPr>
              <w:ind w:right="144"/>
              <w:rPr>
                <w:b/>
                <w:i/>
                <w:sz w:val="32"/>
                <w:szCs w:val="32"/>
              </w:rPr>
            </w:pPr>
            <w:r>
              <w:rPr>
                <w:b/>
                <w:i/>
                <w:sz w:val="32"/>
                <w:szCs w:val="32"/>
              </w:rPr>
              <w:t>Search for Funding</w:t>
            </w:r>
          </w:p>
          <w:p w:rsidR="000A16D5" w:rsidRPr="00380420" w:rsidRDefault="000A16D5" w:rsidP="000C5608">
            <w:pPr>
              <w:ind w:right="144"/>
              <w:rPr>
                <w:rFonts w:ascii="Arial" w:hAnsi="Arial" w:cs="Arial"/>
                <w:sz w:val="20"/>
                <w:szCs w:val="20"/>
              </w:rPr>
            </w:pPr>
            <w:r w:rsidRPr="00380420">
              <w:rPr>
                <w:rFonts w:ascii="Arial" w:hAnsi="Arial" w:cs="Arial"/>
                <w:sz w:val="20"/>
                <w:szCs w:val="20"/>
              </w:rPr>
              <w:t>*Use online databases such as the subscription services provided through WPU’s Office of Sponsored Programs or free services available from the Federal Government or other programs*</w:t>
            </w:r>
          </w:p>
          <w:p w:rsidR="00131CD8" w:rsidRPr="00131CD8" w:rsidRDefault="00131CD8" w:rsidP="000C5608">
            <w:pPr>
              <w:ind w:right="144"/>
              <w:rPr>
                <w:b/>
                <w:i/>
                <w:sz w:val="16"/>
                <w:szCs w:val="16"/>
              </w:rPr>
            </w:pPr>
          </w:p>
          <w:p w:rsidR="00624328" w:rsidRDefault="00E64DCD" w:rsidP="000C5608">
            <w:pPr>
              <w:ind w:right="144"/>
              <w:rPr>
                <w:rFonts w:ascii="Arial" w:hAnsi="Arial" w:cs="Arial"/>
                <w:color w:val="313131"/>
                <w:bdr w:val="none" w:sz="0" w:space="0" w:color="auto" w:frame="1"/>
              </w:rPr>
            </w:pPr>
            <w:hyperlink r:id="rId12" w:history="1">
              <w:r w:rsidR="00624328" w:rsidRPr="00D41D25">
                <w:rPr>
                  <w:rStyle w:val="Hyperlink"/>
                  <w:rFonts w:ascii="Arial" w:hAnsi="Arial" w:cs="Arial"/>
                  <w:b/>
                </w:rPr>
                <w:t>COS PIVOT</w:t>
              </w:r>
            </w:hyperlink>
            <w:r w:rsidR="00624328" w:rsidRPr="00D41D25">
              <w:rPr>
                <w:rFonts w:ascii="Arial" w:hAnsi="Arial" w:cs="Arial"/>
                <w:b/>
                <w:color w:val="313131"/>
                <w:bdr w:val="none" w:sz="0" w:space="0" w:color="auto" w:frame="1"/>
              </w:rPr>
              <w:t xml:space="preserve"> </w:t>
            </w:r>
            <w:r w:rsidR="00624328" w:rsidRPr="00D41D25">
              <w:rPr>
                <w:rFonts w:ascii="Arial" w:hAnsi="Arial" w:cs="Arial"/>
                <w:color w:val="313131"/>
                <w:bdr w:val="none" w:sz="0" w:space="0" w:color="auto" w:frame="1"/>
              </w:rPr>
              <w:t>gives Research Administrators, Research Development Professionals, and their institutions the edge to bring together the right research opportunities, funding, and people quickly and easily</w:t>
            </w:r>
            <w:r w:rsidR="00624328" w:rsidRPr="00131CD8">
              <w:rPr>
                <w:rFonts w:ascii="Arial" w:hAnsi="Arial" w:cs="Arial"/>
                <w:color w:val="313131"/>
                <w:bdr w:val="none" w:sz="0" w:space="0" w:color="auto" w:frame="1"/>
              </w:rPr>
              <w:t>.</w:t>
            </w:r>
          </w:p>
          <w:p w:rsidR="00131CD8" w:rsidRPr="00131CD8" w:rsidRDefault="00131CD8" w:rsidP="000C5608">
            <w:pPr>
              <w:ind w:right="144"/>
              <w:rPr>
                <w:rFonts w:ascii="Arial" w:hAnsi="Arial" w:cs="Arial"/>
                <w:color w:val="313131"/>
                <w:sz w:val="16"/>
                <w:szCs w:val="16"/>
                <w:bdr w:val="none" w:sz="0" w:space="0" w:color="auto" w:frame="1"/>
              </w:rPr>
            </w:pPr>
          </w:p>
          <w:p w:rsidR="001E276B" w:rsidRDefault="00E64DCD" w:rsidP="000C5608">
            <w:pPr>
              <w:ind w:right="144"/>
              <w:rPr>
                <w:rFonts w:ascii="Arial" w:hAnsi="Arial" w:cs="Arial"/>
                <w:color w:val="313131"/>
                <w:bdr w:val="none" w:sz="0" w:space="0" w:color="auto" w:frame="1"/>
              </w:rPr>
            </w:pPr>
            <w:hyperlink r:id="rId13" w:history="1">
              <w:r w:rsidR="00131CD8" w:rsidRPr="00131CD8">
                <w:rPr>
                  <w:rStyle w:val="Hyperlink"/>
                  <w:rFonts w:ascii="Arial" w:hAnsi="Arial" w:cs="Arial"/>
                  <w:b/>
                  <w:bdr w:val="none" w:sz="0" w:space="0" w:color="auto" w:frame="1"/>
                </w:rPr>
                <w:t>GrantSearch</w:t>
              </w:r>
            </w:hyperlink>
            <w:r w:rsidR="00131CD8" w:rsidRPr="00131CD8">
              <w:rPr>
                <w:rFonts w:ascii="Arial" w:hAnsi="Arial" w:cs="Arial"/>
                <w:color w:val="313131"/>
                <w:bdr w:val="none" w:sz="0" w:space="0" w:color="auto" w:frame="1"/>
              </w:rPr>
              <w:t xml:space="preserve"> contai</w:t>
            </w:r>
            <w:r w:rsidR="0012574C">
              <w:rPr>
                <w:rFonts w:ascii="Arial" w:hAnsi="Arial" w:cs="Arial"/>
                <w:color w:val="313131"/>
                <w:bdr w:val="none" w:sz="0" w:space="0" w:color="auto" w:frame="1"/>
              </w:rPr>
              <w:t xml:space="preserve">ns descriptions, deadlines, and </w:t>
            </w:r>
            <w:r w:rsidR="00131CD8" w:rsidRPr="00131CD8">
              <w:rPr>
                <w:rFonts w:ascii="Arial" w:hAnsi="Arial" w:cs="Arial"/>
                <w:color w:val="313131"/>
                <w:bdr w:val="none" w:sz="0" w:space="0" w:color="auto" w:frame="1"/>
              </w:rPr>
              <w:t>contact information on nearly 12,000 federal and private funding programs of particular interest to public colleges and universities.</w:t>
            </w:r>
          </w:p>
          <w:p w:rsidR="00131CD8" w:rsidRDefault="00131CD8" w:rsidP="000C5608">
            <w:pPr>
              <w:ind w:right="144"/>
              <w:rPr>
                <w:rFonts w:ascii="Arial" w:hAnsi="Arial" w:cs="Arial"/>
                <w:color w:val="313131"/>
                <w:sz w:val="16"/>
                <w:szCs w:val="16"/>
                <w:bdr w:val="none" w:sz="0" w:space="0" w:color="auto" w:frame="1"/>
              </w:rPr>
            </w:pPr>
          </w:p>
          <w:p w:rsidR="00131CD8" w:rsidRDefault="00E64DCD" w:rsidP="000C5608">
            <w:pPr>
              <w:ind w:right="144"/>
              <w:rPr>
                <w:rFonts w:ascii="Arial" w:hAnsi="Arial" w:cs="Arial"/>
                <w:color w:val="313131"/>
                <w:bdr w:val="none" w:sz="0" w:space="0" w:color="auto" w:frame="1"/>
              </w:rPr>
            </w:pPr>
            <w:hyperlink r:id="rId14" w:history="1">
              <w:r w:rsidR="009753E2" w:rsidRPr="009753E2">
                <w:rPr>
                  <w:rStyle w:val="Hyperlink"/>
                  <w:rFonts w:ascii="Arial" w:hAnsi="Arial" w:cs="Arial"/>
                  <w:b/>
                  <w:bdr w:val="none" w:sz="0" w:space="0" w:color="auto" w:frame="1"/>
                </w:rPr>
                <w:t>Grants.gov</w:t>
              </w:r>
            </w:hyperlink>
            <w:r w:rsidR="00325C19">
              <w:rPr>
                <w:rFonts w:ascii="Arial" w:hAnsi="Arial" w:cs="Arial"/>
                <w:color w:val="313131"/>
                <w:sz w:val="21"/>
                <w:szCs w:val="21"/>
                <w:shd w:val="clear" w:color="auto" w:fill="F7F8FA"/>
              </w:rPr>
              <w:t xml:space="preserve"> </w:t>
            </w:r>
            <w:r w:rsidR="009753E2" w:rsidRPr="009753E2">
              <w:rPr>
                <w:rFonts w:ascii="Arial" w:hAnsi="Arial" w:cs="Arial"/>
                <w:color w:val="313131"/>
                <w:bdr w:val="none" w:sz="0" w:space="0" w:color="auto" w:frame="1"/>
              </w:rPr>
              <w:t>is the Federal portal to finding funding opportunities and then applying for support.</w:t>
            </w:r>
          </w:p>
          <w:p w:rsidR="00733ABB" w:rsidRDefault="00733ABB" w:rsidP="000C5608">
            <w:pPr>
              <w:ind w:right="144"/>
              <w:rPr>
                <w:rFonts w:ascii="Arial" w:hAnsi="Arial" w:cs="Arial"/>
                <w:b/>
                <w:color w:val="313131"/>
                <w:sz w:val="16"/>
                <w:szCs w:val="16"/>
                <w:bdr w:val="none" w:sz="0" w:space="0" w:color="auto" w:frame="1"/>
              </w:rPr>
            </w:pPr>
          </w:p>
          <w:p w:rsidR="00AC0EB6" w:rsidRDefault="00E64DCD" w:rsidP="000C5608">
            <w:pPr>
              <w:ind w:right="144"/>
              <w:rPr>
                <w:rStyle w:val="apple-converted-space"/>
                <w:rFonts w:ascii="Arial" w:hAnsi="Arial" w:cs="Arial"/>
                <w:color w:val="313131"/>
                <w:sz w:val="21"/>
                <w:szCs w:val="21"/>
                <w:shd w:val="clear" w:color="auto" w:fill="F7F8FA"/>
              </w:rPr>
            </w:pPr>
            <w:hyperlink r:id="rId15" w:history="1">
              <w:r w:rsidR="00AC0EB6" w:rsidRPr="00AC0EB6">
                <w:rPr>
                  <w:rStyle w:val="Hyperlink"/>
                  <w:rFonts w:ascii="Arial" w:hAnsi="Arial" w:cs="Arial"/>
                  <w:b/>
                  <w:bdr w:val="none" w:sz="0" w:space="0" w:color="auto" w:frame="1"/>
                </w:rPr>
                <w:t>Grant Resource Center</w:t>
              </w:r>
            </w:hyperlink>
            <w:r w:rsidR="00AC0EB6" w:rsidRPr="00AC0EB6">
              <w:rPr>
                <w:bdr w:val="none" w:sz="0" w:space="0" w:color="auto" w:frame="1"/>
              </w:rPr>
              <w:t> </w:t>
            </w:r>
            <w:r w:rsidR="00AC0EB6" w:rsidRPr="00AC0EB6">
              <w:rPr>
                <w:rFonts w:ascii="Arial" w:hAnsi="Arial" w:cs="Arial"/>
                <w:color w:val="313131"/>
                <w:bdr w:val="none" w:sz="0" w:space="0" w:color="auto" w:frame="1"/>
              </w:rPr>
              <w:t>provides detailed information on Federal funding and Congressional actions, materials to support proposal development -- including abstracts for funded projects, and access to GrantSearch.</w:t>
            </w:r>
          </w:p>
          <w:p w:rsidR="00923A02" w:rsidRDefault="00923A02" w:rsidP="000C5608">
            <w:pPr>
              <w:rPr>
                <w:rFonts w:ascii="Arial" w:hAnsi="Arial" w:cs="Arial"/>
                <w:b/>
                <w:color w:val="313131"/>
                <w:sz w:val="16"/>
                <w:szCs w:val="16"/>
                <w:bdr w:val="none" w:sz="0" w:space="0" w:color="auto" w:frame="1"/>
              </w:rPr>
            </w:pPr>
          </w:p>
          <w:p w:rsidR="00FE1670" w:rsidRPr="00D41D25" w:rsidRDefault="00E64DCD" w:rsidP="000C5608">
            <w:pPr>
              <w:rPr>
                <w:rFonts w:ascii="Arial" w:hAnsi="Arial" w:cs="Arial"/>
                <w:color w:val="313131"/>
                <w:bdr w:val="none" w:sz="0" w:space="0" w:color="auto" w:frame="1"/>
              </w:rPr>
            </w:pPr>
            <w:hyperlink r:id="rId16" w:history="1">
              <w:r w:rsidR="00FE1670" w:rsidRPr="00D41D25">
                <w:rPr>
                  <w:rStyle w:val="Hyperlink"/>
                  <w:rFonts w:ascii="Arial" w:hAnsi="Arial" w:cs="Arial"/>
                  <w:b/>
                  <w:bdr w:val="none" w:sz="0" w:space="0" w:color="auto" w:frame="1"/>
                </w:rPr>
                <w:t>Good Funding Opportunities and Support</w:t>
              </w:r>
            </w:hyperlink>
            <w:r w:rsidR="00FE1670" w:rsidRPr="00D41D25">
              <w:rPr>
                <w:rFonts w:ascii="Arial" w:hAnsi="Arial" w:cs="Arial"/>
                <w:b/>
                <w:color w:val="313131"/>
                <w:bdr w:val="none" w:sz="0" w:space="0" w:color="auto" w:frame="1"/>
              </w:rPr>
              <w:t xml:space="preserve"> </w:t>
            </w:r>
            <w:r w:rsidR="00FE1670" w:rsidRPr="00D41D25">
              <w:rPr>
                <w:rFonts w:ascii="Arial" w:hAnsi="Arial" w:cs="Arial"/>
                <w:color w:val="313131"/>
                <w:bdr w:val="none" w:sz="0" w:space="0" w:color="auto" w:frame="1"/>
              </w:rPr>
              <w:t>The OSP offers a variety of resources to assist you in identifying appropriate funders for your project or program.</w:t>
            </w:r>
          </w:p>
          <w:p w:rsidR="00FE1670" w:rsidRPr="00537268" w:rsidRDefault="00FE1670" w:rsidP="000C5608">
            <w:pPr>
              <w:rPr>
                <w:rFonts w:ascii="Arial" w:hAnsi="Arial" w:cs="Arial"/>
                <w:color w:val="313131"/>
                <w:sz w:val="16"/>
                <w:szCs w:val="16"/>
                <w:bdr w:val="none" w:sz="0" w:space="0" w:color="auto" w:frame="1"/>
              </w:rPr>
            </w:pPr>
          </w:p>
          <w:p w:rsidR="00FE1670" w:rsidRPr="00D41D25" w:rsidRDefault="00E64DCD" w:rsidP="000C5608">
            <w:pPr>
              <w:rPr>
                <w:rFonts w:ascii="Arial" w:hAnsi="Arial" w:cs="Arial"/>
                <w:color w:val="313131"/>
                <w:bdr w:val="none" w:sz="0" w:space="0" w:color="auto" w:frame="1"/>
              </w:rPr>
            </w:pPr>
            <w:hyperlink r:id="rId17" w:history="1">
              <w:r w:rsidR="000C332E" w:rsidRPr="00D41D25">
                <w:rPr>
                  <w:rStyle w:val="Hyperlink"/>
                  <w:rFonts w:ascii="Arial" w:hAnsi="Arial" w:cs="Arial"/>
                  <w:b/>
                  <w:bdr w:val="none" w:sz="0" w:space="0" w:color="auto" w:frame="1"/>
                </w:rPr>
                <w:t>Funding</w:t>
              </w:r>
            </w:hyperlink>
            <w:r w:rsidR="000C332E" w:rsidRPr="00D41D25">
              <w:rPr>
                <w:rStyle w:val="Hyperlink"/>
                <w:rFonts w:ascii="Arial" w:hAnsi="Arial" w:cs="Arial"/>
                <w:b/>
                <w:bdr w:val="none" w:sz="0" w:space="0" w:color="auto" w:frame="1"/>
              </w:rPr>
              <w:t xml:space="preserve"> Opportunities Newsletter Archive</w:t>
            </w:r>
            <w:r w:rsidR="00FE1670" w:rsidRPr="00D41D25">
              <w:rPr>
                <w:rFonts w:ascii="Arial" w:hAnsi="Arial" w:cs="Arial"/>
                <w:color w:val="313131"/>
                <w:bdr w:val="none" w:sz="0" w:space="0" w:color="auto" w:frame="1"/>
              </w:rPr>
              <w:t xml:space="preserve"> The OSP electronic newsletter containing compiled information on funding agencies and opportunities.</w:t>
            </w:r>
          </w:p>
          <w:p w:rsidR="00D94779" w:rsidRPr="00C14E48" w:rsidRDefault="00D94779" w:rsidP="000C5608">
            <w:pPr>
              <w:rPr>
                <w:rFonts w:ascii="Arial" w:hAnsi="Arial" w:cs="Arial"/>
                <w:b/>
                <w:color w:val="313131"/>
                <w:bdr w:val="none" w:sz="0" w:space="0" w:color="auto" w:frame="1"/>
              </w:rPr>
            </w:pPr>
          </w:p>
        </w:tc>
        <w:tc>
          <w:tcPr>
            <w:tcW w:w="4413" w:type="dxa"/>
            <w:gridSpan w:val="5"/>
            <w:tcBorders>
              <w:top w:val="single" w:sz="12" w:space="0" w:color="auto"/>
              <w:left w:val="single" w:sz="12" w:space="0" w:color="auto"/>
            </w:tcBorders>
          </w:tcPr>
          <w:p w:rsidR="001E276B" w:rsidRPr="001E276B" w:rsidRDefault="000C332E" w:rsidP="000C5608">
            <w:pPr>
              <w:spacing w:before="40"/>
              <w:ind w:left="144"/>
              <w:rPr>
                <w:rFonts w:eastAsiaTheme="minorHAnsi" w:cstheme="minorBidi"/>
                <w:b/>
                <w:i/>
                <w:sz w:val="32"/>
                <w:szCs w:val="32"/>
              </w:rPr>
            </w:pPr>
            <w:r>
              <w:rPr>
                <w:b/>
                <w:i/>
                <w:sz w:val="32"/>
                <w:szCs w:val="32"/>
              </w:rPr>
              <w:t>Recently announced</w:t>
            </w:r>
            <w:r w:rsidR="001E276B" w:rsidRPr="001E276B">
              <w:rPr>
                <w:b/>
                <w:i/>
                <w:sz w:val="32"/>
                <w:szCs w:val="32"/>
              </w:rPr>
              <w:t xml:space="preserve"> funding opportunities are in these disciplines</w:t>
            </w:r>
          </w:p>
          <w:p w:rsidR="001E276B" w:rsidRDefault="00E64DCD" w:rsidP="000C5608">
            <w:pPr>
              <w:ind w:left="144"/>
              <w:rPr>
                <w:rFonts w:asciiTheme="minorHAnsi" w:eastAsiaTheme="minorEastAsia" w:hAnsiTheme="minorHAnsi"/>
                <w:b/>
                <w:sz w:val="28"/>
                <w:szCs w:val="28"/>
              </w:rPr>
            </w:pPr>
            <w:hyperlink w:anchor="ant" w:history="1">
              <w:r w:rsidR="001E276B">
                <w:rPr>
                  <w:rStyle w:val="Hyperlink"/>
                  <w:b/>
                  <w:sz w:val="28"/>
                  <w:szCs w:val="28"/>
                </w:rPr>
                <w:t>Anthropology and Regional Studies</w:t>
              </w:r>
            </w:hyperlink>
          </w:p>
          <w:p w:rsidR="001E276B" w:rsidRDefault="00E64DCD" w:rsidP="000C5608">
            <w:pPr>
              <w:ind w:left="144"/>
              <w:rPr>
                <w:b/>
                <w:sz w:val="28"/>
                <w:szCs w:val="28"/>
              </w:rPr>
            </w:pPr>
            <w:hyperlink w:anchor="art" w:history="1">
              <w:r w:rsidR="001E276B">
                <w:rPr>
                  <w:rStyle w:val="Hyperlink"/>
                  <w:b/>
                  <w:sz w:val="28"/>
                  <w:szCs w:val="28"/>
                </w:rPr>
                <w:t>Art and Communication</w:t>
              </w:r>
            </w:hyperlink>
          </w:p>
          <w:p w:rsidR="001E276B" w:rsidRDefault="00E64DCD" w:rsidP="000C5608">
            <w:pPr>
              <w:ind w:left="144"/>
              <w:rPr>
                <w:b/>
                <w:sz w:val="28"/>
                <w:szCs w:val="28"/>
              </w:rPr>
            </w:pPr>
            <w:hyperlink w:anchor="bus" w:history="1">
              <w:r w:rsidR="001E276B">
                <w:rPr>
                  <w:rStyle w:val="Hyperlink"/>
                  <w:b/>
                  <w:sz w:val="28"/>
                  <w:szCs w:val="28"/>
                </w:rPr>
                <w:t>Business and Economics</w:t>
              </w:r>
            </w:hyperlink>
          </w:p>
          <w:p w:rsidR="001E276B" w:rsidRDefault="00E64DCD" w:rsidP="000C5608">
            <w:pPr>
              <w:ind w:left="144"/>
              <w:rPr>
                <w:b/>
                <w:sz w:val="28"/>
                <w:szCs w:val="28"/>
              </w:rPr>
            </w:pPr>
            <w:hyperlink w:anchor="comm" w:history="1">
              <w:r w:rsidR="001E276B">
                <w:rPr>
                  <w:rStyle w:val="Hyperlink"/>
                  <w:b/>
                  <w:sz w:val="28"/>
                  <w:szCs w:val="28"/>
                </w:rPr>
                <w:t>Community Services</w:t>
              </w:r>
            </w:hyperlink>
          </w:p>
          <w:p w:rsidR="001E276B" w:rsidRDefault="00E64DCD" w:rsidP="000C5608">
            <w:pPr>
              <w:ind w:left="144"/>
              <w:rPr>
                <w:b/>
                <w:sz w:val="28"/>
                <w:szCs w:val="28"/>
              </w:rPr>
            </w:pPr>
            <w:hyperlink w:anchor="comp" w:history="1">
              <w:r w:rsidR="001E276B">
                <w:rPr>
                  <w:rStyle w:val="Hyperlink"/>
                  <w:b/>
                  <w:sz w:val="28"/>
                  <w:szCs w:val="28"/>
                </w:rPr>
                <w:t>Computers and Technology</w:t>
              </w:r>
            </w:hyperlink>
          </w:p>
          <w:p w:rsidR="001E276B" w:rsidRDefault="00E64DCD" w:rsidP="000C5608">
            <w:pPr>
              <w:ind w:left="144"/>
            </w:pPr>
            <w:hyperlink w:anchor="edu" w:history="1">
              <w:r w:rsidR="001E276B">
                <w:rPr>
                  <w:rStyle w:val="Hyperlink"/>
                  <w:b/>
                  <w:sz w:val="28"/>
                  <w:szCs w:val="28"/>
                </w:rPr>
                <w:t>Education</w:t>
              </w:r>
            </w:hyperlink>
          </w:p>
          <w:p w:rsidR="001E276B" w:rsidRDefault="00E64DCD" w:rsidP="000C5608">
            <w:pPr>
              <w:ind w:left="144"/>
              <w:rPr>
                <w:rStyle w:val="Hyperlink"/>
                <w:b/>
                <w:sz w:val="28"/>
                <w:szCs w:val="28"/>
              </w:rPr>
            </w:pPr>
            <w:hyperlink w:anchor="env" w:history="1">
              <w:r w:rsidR="001E276B" w:rsidRPr="003E3818">
                <w:rPr>
                  <w:rStyle w:val="Hyperlink"/>
                  <w:b/>
                  <w:sz w:val="28"/>
                  <w:szCs w:val="28"/>
                </w:rPr>
                <w:t>Environment</w:t>
              </w:r>
            </w:hyperlink>
          </w:p>
          <w:p w:rsidR="001E276B" w:rsidRPr="003E3818" w:rsidRDefault="00E64DCD" w:rsidP="000C5608">
            <w:pPr>
              <w:ind w:left="144"/>
              <w:rPr>
                <w:rStyle w:val="Hyperlink"/>
              </w:rPr>
            </w:pPr>
            <w:hyperlink w:anchor="fel" w:history="1">
              <w:r w:rsidR="001E276B" w:rsidRPr="00C00DC6">
                <w:rPr>
                  <w:rStyle w:val="Hyperlink"/>
                  <w:b/>
                  <w:sz w:val="28"/>
                  <w:szCs w:val="28"/>
                </w:rPr>
                <w:t>Fellowships and Scholarships</w:t>
              </w:r>
            </w:hyperlink>
          </w:p>
          <w:p w:rsidR="001E276B" w:rsidRDefault="00E64DCD" w:rsidP="000C5608">
            <w:pPr>
              <w:ind w:left="144"/>
              <w:rPr>
                <w:b/>
                <w:sz w:val="28"/>
                <w:szCs w:val="28"/>
              </w:rPr>
            </w:pPr>
            <w:hyperlink w:anchor="hea" w:history="1">
              <w:r w:rsidR="001E276B">
                <w:rPr>
                  <w:rStyle w:val="Hyperlink"/>
                  <w:b/>
                  <w:sz w:val="28"/>
                  <w:szCs w:val="28"/>
                </w:rPr>
                <w:t>Health</w:t>
              </w:r>
            </w:hyperlink>
          </w:p>
          <w:p w:rsidR="001E276B" w:rsidRDefault="00E64DCD" w:rsidP="000C5608">
            <w:pPr>
              <w:ind w:left="144"/>
              <w:rPr>
                <w:b/>
                <w:sz w:val="28"/>
                <w:szCs w:val="28"/>
              </w:rPr>
            </w:pPr>
            <w:hyperlink w:anchor="hum" w:history="1">
              <w:r w:rsidR="001E276B">
                <w:rPr>
                  <w:rStyle w:val="Hyperlink"/>
                  <w:b/>
                  <w:sz w:val="28"/>
                  <w:szCs w:val="28"/>
                </w:rPr>
                <w:t>Humanities and Language</w:t>
              </w:r>
            </w:hyperlink>
          </w:p>
          <w:p w:rsidR="001E276B" w:rsidRDefault="00E64DCD" w:rsidP="000C5608">
            <w:pPr>
              <w:ind w:left="144"/>
            </w:pPr>
            <w:hyperlink w:anchor="int" w:history="1">
              <w:r w:rsidR="001E276B">
                <w:rPr>
                  <w:rStyle w:val="Hyperlink"/>
                  <w:b/>
                  <w:sz w:val="28"/>
                  <w:szCs w:val="28"/>
                </w:rPr>
                <w:t>International Studies</w:t>
              </w:r>
            </w:hyperlink>
          </w:p>
          <w:p w:rsidR="001E276B" w:rsidRPr="003E3818" w:rsidRDefault="00E64DCD" w:rsidP="000C5608">
            <w:pPr>
              <w:ind w:left="144"/>
              <w:rPr>
                <w:rStyle w:val="Hyperlink"/>
              </w:rPr>
            </w:pPr>
            <w:hyperlink w:anchor="lib" w:history="1">
              <w:r w:rsidR="001E276B" w:rsidRPr="003E3818">
                <w:rPr>
                  <w:rStyle w:val="Hyperlink"/>
                  <w:b/>
                  <w:sz w:val="28"/>
                  <w:szCs w:val="28"/>
                </w:rPr>
                <w:t>Library and Museum</w:t>
              </w:r>
            </w:hyperlink>
          </w:p>
          <w:p w:rsidR="001E276B" w:rsidRDefault="00E64DCD" w:rsidP="000C5608">
            <w:pPr>
              <w:ind w:left="144"/>
              <w:rPr>
                <w:b/>
                <w:sz w:val="28"/>
                <w:szCs w:val="28"/>
              </w:rPr>
            </w:pPr>
            <w:hyperlink w:anchor="mul" w:history="1">
              <w:r w:rsidR="001E276B">
                <w:rPr>
                  <w:rStyle w:val="Hyperlink"/>
                  <w:b/>
                  <w:sz w:val="28"/>
                  <w:szCs w:val="28"/>
                </w:rPr>
                <w:t>Multi and Cross Disciplinary</w:t>
              </w:r>
            </w:hyperlink>
          </w:p>
          <w:p w:rsidR="001E276B" w:rsidRDefault="00E64DCD" w:rsidP="000C5608">
            <w:pPr>
              <w:ind w:left="144"/>
            </w:pPr>
            <w:hyperlink w:anchor="phy" w:history="1">
              <w:r w:rsidR="001E276B">
                <w:rPr>
                  <w:rStyle w:val="Hyperlink"/>
                  <w:b/>
                  <w:sz w:val="28"/>
                  <w:szCs w:val="28"/>
                </w:rPr>
                <w:t>Physical Sciences and Math</w:t>
              </w:r>
            </w:hyperlink>
          </w:p>
          <w:p w:rsidR="001E276B" w:rsidRPr="00C00DC6" w:rsidRDefault="00E64DCD" w:rsidP="000C5608">
            <w:pPr>
              <w:ind w:left="144"/>
              <w:rPr>
                <w:rStyle w:val="Hyperlink"/>
              </w:rPr>
            </w:pPr>
            <w:hyperlink w:anchor="psy" w:history="1">
              <w:r w:rsidR="001E276B" w:rsidRPr="00C00DC6">
                <w:rPr>
                  <w:rStyle w:val="Hyperlink"/>
                  <w:b/>
                  <w:sz w:val="28"/>
                  <w:szCs w:val="28"/>
                </w:rPr>
                <w:t>Psychology</w:t>
              </w:r>
            </w:hyperlink>
          </w:p>
          <w:p w:rsidR="001E276B" w:rsidRDefault="00E64DCD" w:rsidP="000C5608">
            <w:pPr>
              <w:ind w:left="144"/>
              <w:rPr>
                <w:b/>
                <w:sz w:val="28"/>
                <w:szCs w:val="28"/>
              </w:rPr>
            </w:pPr>
            <w:hyperlink w:anchor="soc" w:history="1">
              <w:r w:rsidR="001E276B">
                <w:rPr>
                  <w:rStyle w:val="Hyperlink"/>
                  <w:b/>
                  <w:sz w:val="28"/>
                  <w:szCs w:val="28"/>
                </w:rPr>
                <w:t>Social Sciences</w:t>
              </w:r>
            </w:hyperlink>
          </w:p>
          <w:p w:rsidR="001E276B" w:rsidRDefault="00E64DCD" w:rsidP="000C5608">
            <w:pPr>
              <w:ind w:left="144"/>
              <w:rPr>
                <w:b/>
                <w:sz w:val="28"/>
                <w:szCs w:val="28"/>
              </w:rPr>
            </w:pPr>
            <w:hyperlink w:anchor="stu" w:history="1">
              <w:r w:rsidR="001E276B">
                <w:rPr>
                  <w:rStyle w:val="Hyperlink"/>
                  <w:b/>
                  <w:sz w:val="28"/>
                  <w:szCs w:val="28"/>
                </w:rPr>
                <w:t>Student Development</w:t>
              </w:r>
            </w:hyperlink>
          </w:p>
          <w:p w:rsidR="001E276B" w:rsidRPr="00F710D2" w:rsidRDefault="00E64DCD" w:rsidP="000C5608">
            <w:pPr>
              <w:spacing w:after="40"/>
              <w:ind w:left="144"/>
              <w:rPr>
                <w:b/>
                <w:color w:val="0000FF"/>
                <w:sz w:val="28"/>
                <w:szCs w:val="28"/>
                <w:u w:val="single"/>
              </w:rPr>
            </w:pPr>
            <w:hyperlink w:anchor="wom" w:history="1">
              <w:r w:rsidR="001E276B" w:rsidRPr="00C00DC6">
                <w:rPr>
                  <w:rStyle w:val="Hyperlink"/>
                  <w:b/>
                  <w:sz w:val="28"/>
                  <w:szCs w:val="28"/>
                </w:rPr>
                <w:t>Women and Minorities</w:t>
              </w:r>
            </w:hyperlink>
          </w:p>
        </w:tc>
      </w:tr>
      <w:tr w:rsidR="00356441" w:rsidTr="000C5608">
        <w:trPr>
          <w:trHeight w:val="335"/>
        </w:trPr>
        <w:tc>
          <w:tcPr>
            <w:tcW w:w="1456" w:type="dxa"/>
            <w:vMerge w:val="restart"/>
            <w:tcBorders>
              <w:top w:val="single" w:sz="12" w:space="0" w:color="auto"/>
            </w:tcBorders>
            <w:vAlign w:val="center"/>
          </w:tcPr>
          <w:p w:rsidR="00356441" w:rsidRPr="00C34C35" w:rsidRDefault="00E64DCD" w:rsidP="000C5608">
            <w:pPr>
              <w:jc w:val="center"/>
              <w:rPr>
                <w:rFonts w:asciiTheme="minorHAnsi" w:hAnsiTheme="minorHAnsi" w:cs="Arial"/>
                <w:b/>
                <w:i/>
                <w:iCs/>
                <w:sz w:val="24"/>
                <w:szCs w:val="24"/>
              </w:rPr>
            </w:pPr>
            <w:hyperlink r:id="rId18" w:history="1">
              <w:r w:rsidR="00356441" w:rsidRPr="00A1254B">
                <w:rPr>
                  <w:rStyle w:val="Hyperlink"/>
                  <w:sz w:val="24"/>
                  <w:szCs w:val="24"/>
                </w:rPr>
                <w:t>Workshops Calendar</w:t>
              </w:r>
            </w:hyperlink>
          </w:p>
        </w:tc>
        <w:tc>
          <w:tcPr>
            <w:tcW w:w="1456" w:type="dxa"/>
            <w:vMerge w:val="restart"/>
            <w:tcBorders>
              <w:top w:val="single" w:sz="12" w:space="0" w:color="auto"/>
            </w:tcBorders>
            <w:vAlign w:val="center"/>
          </w:tcPr>
          <w:p w:rsidR="00356441" w:rsidRPr="00347E61" w:rsidRDefault="00E64DCD" w:rsidP="000C5608">
            <w:pPr>
              <w:jc w:val="center"/>
              <w:rPr>
                <w:rFonts w:eastAsiaTheme="minorHAnsi" w:cstheme="minorBidi"/>
                <w:sz w:val="24"/>
                <w:szCs w:val="24"/>
              </w:rPr>
            </w:pPr>
            <w:hyperlink r:id="rId19" w:history="1">
              <w:r w:rsidR="00356441">
                <w:rPr>
                  <w:rStyle w:val="Hyperlink"/>
                  <w:sz w:val="24"/>
                  <w:szCs w:val="24"/>
                </w:rPr>
                <w:t>Institutional Review Board</w:t>
              </w:r>
            </w:hyperlink>
          </w:p>
        </w:tc>
        <w:tc>
          <w:tcPr>
            <w:tcW w:w="1455" w:type="dxa"/>
            <w:gridSpan w:val="2"/>
            <w:vMerge w:val="restart"/>
            <w:tcBorders>
              <w:top w:val="single" w:sz="12" w:space="0" w:color="auto"/>
            </w:tcBorders>
            <w:vAlign w:val="center"/>
          </w:tcPr>
          <w:p w:rsidR="00356441" w:rsidRPr="00347E61" w:rsidRDefault="00E64DCD" w:rsidP="000C5608">
            <w:pPr>
              <w:jc w:val="center"/>
              <w:rPr>
                <w:color w:val="0000FF"/>
                <w:sz w:val="24"/>
                <w:szCs w:val="24"/>
                <w:u w:val="single"/>
              </w:rPr>
            </w:pPr>
            <w:hyperlink r:id="rId20" w:history="1">
              <w:r w:rsidR="00356441">
                <w:rPr>
                  <w:rStyle w:val="Hyperlink"/>
                  <w:sz w:val="24"/>
                  <w:szCs w:val="24"/>
                </w:rPr>
                <w:t>Preparing Proposals</w:t>
              </w:r>
            </w:hyperlink>
          </w:p>
        </w:tc>
        <w:tc>
          <w:tcPr>
            <w:tcW w:w="1678" w:type="dxa"/>
            <w:gridSpan w:val="2"/>
            <w:vMerge w:val="restart"/>
            <w:tcBorders>
              <w:top w:val="single" w:sz="12" w:space="0" w:color="auto"/>
            </w:tcBorders>
            <w:vAlign w:val="center"/>
          </w:tcPr>
          <w:p w:rsidR="00356441" w:rsidRPr="00347E61" w:rsidRDefault="00E64DCD" w:rsidP="000C5608">
            <w:pPr>
              <w:jc w:val="center"/>
              <w:rPr>
                <w:rFonts w:eastAsiaTheme="minorHAnsi" w:cstheme="minorBidi"/>
                <w:sz w:val="24"/>
                <w:szCs w:val="24"/>
              </w:rPr>
            </w:pPr>
            <w:hyperlink r:id="rId21" w:history="1">
              <w:r w:rsidR="00356441">
                <w:rPr>
                  <w:rStyle w:val="Hyperlink"/>
                  <w:sz w:val="24"/>
                  <w:szCs w:val="24"/>
                </w:rPr>
                <w:t>Proposal Writing Resources</w:t>
              </w:r>
            </w:hyperlink>
          </w:p>
        </w:tc>
        <w:tc>
          <w:tcPr>
            <w:tcW w:w="1434" w:type="dxa"/>
            <w:gridSpan w:val="2"/>
            <w:vMerge w:val="restart"/>
            <w:tcBorders>
              <w:top w:val="single" w:sz="12" w:space="0" w:color="auto"/>
            </w:tcBorders>
            <w:vAlign w:val="center"/>
          </w:tcPr>
          <w:p w:rsidR="00356441" w:rsidRPr="00347E61" w:rsidRDefault="00E64DCD" w:rsidP="000C5608">
            <w:pPr>
              <w:jc w:val="center"/>
              <w:rPr>
                <w:rFonts w:eastAsiaTheme="minorHAnsi" w:cstheme="minorBidi"/>
                <w:sz w:val="24"/>
                <w:szCs w:val="24"/>
              </w:rPr>
            </w:pPr>
            <w:hyperlink r:id="rId22" w:history="1">
              <w:r w:rsidR="00356441">
                <w:rPr>
                  <w:rStyle w:val="Hyperlink"/>
                  <w:sz w:val="24"/>
                  <w:szCs w:val="24"/>
                </w:rPr>
                <w:t>Recent Awards</w:t>
              </w:r>
            </w:hyperlink>
          </w:p>
        </w:tc>
        <w:tc>
          <w:tcPr>
            <w:tcW w:w="2459" w:type="dxa"/>
            <w:gridSpan w:val="3"/>
            <w:tcBorders>
              <w:top w:val="single" w:sz="12" w:space="0" w:color="auto"/>
            </w:tcBorders>
            <w:vAlign w:val="bottom"/>
          </w:tcPr>
          <w:p w:rsidR="00356441" w:rsidRPr="00876AA8" w:rsidRDefault="00356441" w:rsidP="000C5608">
            <w:pPr>
              <w:jc w:val="center"/>
              <w:rPr>
                <w:rFonts w:asciiTheme="minorHAnsi" w:hAnsiTheme="minorHAnsi" w:cs="Arial"/>
                <w:b/>
                <w:i/>
                <w:iCs/>
              </w:rPr>
            </w:pPr>
            <w:r w:rsidRPr="00876AA8">
              <w:rPr>
                <w:b/>
                <w:bCs/>
                <w:u w:val="single"/>
              </w:rPr>
              <w:t>Office Hours</w:t>
            </w:r>
          </w:p>
        </w:tc>
      </w:tr>
      <w:tr w:rsidR="00356441" w:rsidTr="000C5608">
        <w:trPr>
          <w:trHeight w:val="249"/>
        </w:trPr>
        <w:tc>
          <w:tcPr>
            <w:tcW w:w="1456" w:type="dxa"/>
            <w:vMerge/>
            <w:vAlign w:val="center"/>
          </w:tcPr>
          <w:p w:rsidR="00356441" w:rsidRDefault="00356441" w:rsidP="000C5608">
            <w:pPr>
              <w:jc w:val="center"/>
            </w:pPr>
          </w:p>
        </w:tc>
        <w:tc>
          <w:tcPr>
            <w:tcW w:w="1456" w:type="dxa"/>
            <w:vMerge/>
            <w:vAlign w:val="center"/>
          </w:tcPr>
          <w:p w:rsidR="00356441" w:rsidRDefault="00356441" w:rsidP="000C5608">
            <w:pPr>
              <w:jc w:val="center"/>
            </w:pPr>
          </w:p>
        </w:tc>
        <w:tc>
          <w:tcPr>
            <w:tcW w:w="1455" w:type="dxa"/>
            <w:gridSpan w:val="2"/>
            <w:vMerge/>
            <w:vAlign w:val="center"/>
          </w:tcPr>
          <w:p w:rsidR="00356441" w:rsidRDefault="00356441" w:rsidP="000C5608">
            <w:pPr>
              <w:jc w:val="center"/>
            </w:pPr>
          </w:p>
        </w:tc>
        <w:tc>
          <w:tcPr>
            <w:tcW w:w="1678" w:type="dxa"/>
            <w:gridSpan w:val="2"/>
            <w:vMerge/>
            <w:vAlign w:val="center"/>
          </w:tcPr>
          <w:p w:rsidR="00356441" w:rsidRDefault="00356441" w:rsidP="000C5608">
            <w:pPr>
              <w:jc w:val="center"/>
            </w:pPr>
          </w:p>
        </w:tc>
        <w:tc>
          <w:tcPr>
            <w:tcW w:w="1434" w:type="dxa"/>
            <w:gridSpan w:val="2"/>
            <w:vMerge/>
            <w:vAlign w:val="center"/>
          </w:tcPr>
          <w:p w:rsidR="00356441" w:rsidRDefault="00356441" w:rsidP="000C5608">
            <w:pPr>
              <w:jc w:val="center"/>
            </w:pPr>
          </w:p>
        </w:tc>
        <w:tc>
          <w:tcPr>
            <w:tcW w:w="1073" w:type="dxa"/>
            <w:vAlign w:val="center"/>
          </w:tcPr>
          <w:p w:rsidR="00356441" w:rsidRPr="001755A8" w:rsidRDefault="00356441" w:rsidP="000C5608">
            <w:pPr>
              <w:rPr>
                <w:rFonts w:eastAsiaTheme="minorHAnsi"/>
                <w:sz w:val="20"/>
                <w:szCs w:val="20"/>
              </w:rPr>
            </w:pPr>
            <w:r w:rsidRPr="001755A8">
              <w:rPr>
                <w:sz w:val="20"/>
                <w:szCs w:val="20"/>
              </w:rPr>
              <w:t>Monday:      </w:t>
            </w:r>
          </w:p>
        </w:tc>
        <w:tc>
          <w:tcPr>
            <w:tcW w:w="1386" w:type="dxa"/>
            <w:gridSpan w:val="2"/>
          </w:tcPr>
          <w:p w:rsidR="00356441" w:rsidRPr="001755A8" w:rsidRDefault="00356441" w:rsidP="000C5608">
            <w:pPr>
              <w:jc w:val="center"/>
              <w:rPr>
                <w:rFonts w:eastAsiaTheme="minorHAnsi"/>
                <w:sz w:val="20"/>
                <w:szCs w:val="20"/>
              </w:rPr>
            </w:pPr>
            <w:r w:rsidRPr="001755A8">
              <w:rPr>
                <w:sz w:val="20"/>
                <w:szCs w:val="20"/>
              </w:rPr>
              <w:t>8:30-4:30</w:t>
            </w:r>
          </w:p>
        </w:tc>
      </w:tr>
      <w:tr w:rsidR="00356441" w:rsidTr="000C5608">
        <w:trPr>
          <w:trHeight w:val="171"/>
        </w:trPr>
        <w:tc>
          <w:tcPr>
            <w:tcW w:w="1456" w:type="dxa"/>
            <w:vMerge/>
            <w:vAlign w:val="center"/>
          </w:tcPr>
          <w:p w:rsidR="00356441" w:rsidRDefault="00356441" w:rsidP="000C5608">
            <w:pPr>
              <w:jc w:val="center"/>
            </w:pPr>
          </w:p>
        </w:tc>
        <w:tc>
          <w:tcPr>
            <w:tcW w:w="1456" w:type="dxa"/>
            <w:vMerge/>
            <w:vAlign w:val="center"/>
          </w:tcPr>
          <w:p w:rsidR="00356441" w:rsidRDefault="00356441" w:rsidP="000C5608">
            <w:pPr>
              <w:jc w:val="center"/>
            </w:pPr>
          </w:p>
        </w:tc>
        <w:tc>
          <w:tcPr>
            <w:tcW w:w="1455" w:type="dxa"/>
            <w:gridSpan w:val="2"/>
            <w:vMerge/>
            <w:vAlign w:val="center"/>
          </w:tcPr>
          <w:p w:rsidR="00356441" w:rsidRDefault="00356441" w:rsidP="000C5608">
            <w:pPr>
              <w:jc w:val="center"/>
            </w:pPr>
          </w:p>
        </w:tc>
        <w:tc>
          <w:tcPr>
            <w:tcW w:w="1678" w:type="dxa"/>
            <w:gridSpan w:val="2"/>
            <w:vMerge/>
            <w:vAlign w:val="center"/>
          </w:tcPr>
          <w:p w:rsidR="00356441" w:rsidRDefault="00356441" w:rsidP="000C5608">
            <w:pPr>
              <w:jc w:val="center"/>
            </w:pPr>
          </w:p>
        </w:tc>
        <w:tc>
          <w:tcPr>
            <w:tcW w:w="1434" w:type="dxa"/>
            <w:gridSpan w:val="2"/>
            <w:vMerge/>
            <w:vAlign w:val="center"/>
          </w:tcPr>
          <w:p w:rsidR="00356441" w:rsidRDefault="00356441" w:rsidP="000C5608">
            <w:pPr>
              <w:jc w:val="center"/>
            </w:pPr>
          </w:p>
        </w:tc>
        <w:tc>
          <w:tcPr>
            <w:tcW w:w="1073" w:type="dxa"/>
            <w:shd w:val="clear" w:color="auto" w:fill="D9D9D9" w:themeFill="background1" w:themeFillShade="D9"/>
            <w:vAlign w:val="center"/>
          </w:tcPr>
          <w:p w:rsidR="00356441" w:rsidRPr="001755A8" w:rsidRDefault="00356441" w:rsidP="000C5608">
            <w:pPr>
              <w:rPr>
                <w:rFonts w:eastAsiaTheme="minorHAnsi"/>
                <w:sz w:val="20"/>
                <w:szCs w:val="20"/>
              </w:rPr>
            </w:pPr>
            <w:r w:rsidRPr="001755A8">
              <w:rPr>
                <w:sz w:val="20"/>
                <w:szCs w:val="20"/>
              </w:rPr>
              <w:t>Tuesday:      </w:t>
            </w:r>
          </w:p>
        </w:tc>
        <w:tc>
          <w:tcPr>
            <w:tcW w:w="1386" w:type="dxa"/>
            <w:gridSpan w:val="2"/>
            <w:shd w:val="clear" w:color="auto" w:fill="D9D9D9" w:themeFill="background1" w:themeFillShade="D9"/>
          </w:tcPr>
          <w:p w:rsidR="00356441" w:rsidRPr="001755A8" w:rsidRDefault="00356441" w:rsidP="000C5608">
            <w:pPr>
              <w:jc w:val="center"/>
              <w:rPr>
                <w:rFonts w:eastAsiaTheme="minorHAnsi"/>
                <w:sz w:val="20"/>
                <w:szCs w:val="20"/>
              </w:rPr>
            </w:pPr>
            <w:r w:rsidRPr="001755A8">
              <w:rPr>
                <w:sz w:val="20"/>
                <w:szCs w:val="20"/>
              </w:rPr>
              <w:t>8:30-4:30</w:t>
            </w:r>
          </w:p>
        </w:tc>
      </w:tr>
      <w:tr w:rsidR="00356441" w:rsidTr="000C5608">
        <w:trPr>
          <w:trHeight w:val="249"/>
        </w:trPr>
        <w:tc>
          <w:tcPr>
            <w:tcW w:w="1456" w:type="dxa"/>
            <w:vMerge/>
          </w:tcPr>
          <w:p w:rsidR="00356441" w:rsidRPr="00043D76" w:rsidRDefault="00356441" w:rsidP="000C5608">
            <w:pPr>
              <w:jc w:val="center"/>
              <w:rPr>
                <w:sz w:val="24"/>
                <w:szCs w:val="24"/>
              </w:rPr>
            </w:pPr>
          </w:p>
        </w:tc>
        <w:tc>
          <w:tcPr>
            <w:tcW w:w="1456" w:type="dxa"/>
            <w:vMerge/>
          </w:tcPr>
          <w:p w:rsidR="00356441" w:rsidRPr="00043D76" w:rsidRDefault="00356441" w:rsidP="000C5608">
            <w:pPr>
              <w:jc w:val="center"/>
              <w:rPr>
                <w:sz w:val="24"/>
                <w:szCs w:val="24"/>
              </w:rPr>
            </w:pPr>
          </w:p>
        </w:tc>
        <w:tc>
          <w:tcPr>
            <w:tcW w:w="1455" w:type="dxa"/>
            <w:gridSpan w:val="2"/>
            <w:vMerge/>
          </w:tcPr>
          <w:p w:rsidR="00356441" w:rsidRPr="00043D76" w:rsidRDefault="00356441" w:rsidP="000C5608">
            <w:pPr>
              <w:jc w:val="center"/>
              <w:rPr>
                <w:sz w:val="24"/>
                <w:szCs w:val="24"/>
              </w:rPr>
            </w:pPr>
          </w:p>
        </w:tc>
        <w:tc>
          <w:tcPr>
            <w:tcW w:w="1678" w:type="dxa"/>
            <w:gridSpan w:val="2"/>
            <w:vMerge/>
          </w:tcPr>
          <w:p w:rsidR="00356441" w:rsidRPr="00043D76" w:rsidRDefault="00356441" w:rsidP="000C5608">
            <w:pPr>
              <w:jc w:val="center"/>
              <w:rPr>
                <w:sz w:val="24"/>
                <w:szCs w:val="24"/>
              </w:rPr>
            </w:pPr>
          </w:p>
        </w:tc>
        <w:tc>
          <w:tcPr>
            <w:tcW w:w="1434" w:type="dxa"/>
            <w:gridSpan w:val="2"/>
            <w:vMerge/>
          </w:tcPr>
          <w:p w:rsidR="00356441" w:rsidRPr="00043D76" w:rsidRDefault="00356441" w:rsidP="000C5608">
            <w:pPr>
              <w:jc w:val="center"/>
              <w:rPr>
                <w:sz w:val="24"/>
                <w:szCs w:val="24"/>
              </w:rPr>
            </w:pPr>
          </w:p>
        </w:tc>
        <w:tc>
          <w:tcPr>
            <w:tcW w:w="1073" w:type="dxa"/>
            <w:vAlign w:val="center"/>
          </w:tcPr>
          <w:p w:rsidR="00356441" w:rsidRPr="001755A8" w:rsidRDefault="00356441" w:rsidP="000C5608">
            <w:pPr>
              <w:rPr>
                <w:rFonts w:eastAsiaTheme="minorHAnsi"/>
                <w:sz w:val="20"/>
                <w:szCs w:val="20"/>
              </w:rPr>
            </w:pPr>
            <w:r w:rsidRPr="001755A8">
              <w:rPr>
                <w:sz w:val="20"/>
                <w:szCs w:val="20"/>
              </w:rPr>
              <w:t>Wednesday:</w:t>
            </w:r>
          </w:p>
        </w:tc>
        <w:tc>
          <w:tcPr>
            <w:tcW w:w="1386" w:type="dxa"/>
            <w:gridSpan w:val="2"/>
          </w:tcPr>
          <w:p w:rsidR="00356441" w:rsidRPr="001755A8" w:rsidRDefault="00356441" w:rsidP="000C5608">
            <w:pPr>
              <w:jc w:val="center"/>
              <w:rPr>
                <w:rFonts w:eastAsiaTheme="minorHAnsi"/>
                <w:sz w:val="20"/>
                <w:szCs w:val="20"/>
              </w:rPr>
            </w:pPr>
            <w:r w:rsidRPr="001755A8">
              <w:rPr>
                <w:sz w:val="20"/>
                <w:szCs w:val="20"/>
              </w:rPr>
              <w:t>8:30-4:30</w:t>
            </w:r>
          </w:p>
        </w:tc>
      </w:tr>
      <w:tr w:rsidR="00356441" w:rsidTr="000C5608">
        <w:trPr>
          <w:trHeight w:val="249"/>
        </w:trPr>
        <w:tc>
          <w:tcPr>
            <w:tcW w:w="1456" w:type="dxa"/>
            <w:vMerge/>
            <w:vAlign w:val="center"/>
          </w:tcPr>
          <w:p w:rsidR="00356441" w:rsidRDefault="00356441" w:rsidP="000C5608">
            <w:pPr>
              <w:jc w:val="center"/>
            </w:pPr>
          </w:p>
        </w:tc>
        <w:tc>
          <w:tcPr>
            <w:tcW w:w="1456" w:type="dxa"/>
            <w:vMerge/>
            <w:vAlign w:val="center"/>
          </w:tcPr>
          <w:p w:rsidR="00356441" w:rsidRDefault="00356441" w:rsidP="000C5608">
            <w:pPr>
              <w:jc w:val="center"/>
            </w:pPr>
          </w:p>
        </w:tc>
        <w:tc>
          <w:tcPr>
            <w:tcW w:w="1455" w:type="dxa"/>
            <w:gridSpan w:val="2"/>
            <w:vMerge/>
            <w:vAlign w:val="center"/>
          </w:tcPr>
          <w:p w:rsidR="00356441" w:rsidRDefault="00356441" w:rsidP="000C5608">
            <w:pPr>
              <w:jc w:val="center"/>
            </w:pPr>
          </w:p>
        </w:tc>
        <w:tc>
          <w:tcPr>
            <w:tcW w:w="1678" w:type="dxa"/>
            <w:gridSpan w:val="2"/>
            <w:vMerge/>
            <w:vAlign w:val="center"/>
          </w:tcPr>
          <w:p w:rsidR="00356441" w:rsidRDefault="00356441" w:rsidP="000C5608">
            <w:pPr>
              <w:jc w:val="center"/>
            </w:pPr>
          </w:p>
        </w:tc>
        <w:tc>
          <w:tcPr>
            <w:tcW w:w="1434" w:type="dxa"/>
            <w:gridSpan w:val="2"/>
            <w:vMerge/>
            <w:vAlign w:val="center"/>
          </w:tcPr>
          <w:p w:rsidR="00356441" w:rsidRDefault="00356441" w:rsidP="000C5608">
            <w:pPr>
              <w:jc w:val="center"/>
            </w:pPr>
          </w:p>
        </w:tc>
        <w:tc>
          <w:tcPr>
            <w:tcW w:w="1073" w:type="dxa"/>
            <w:shd w:val="clear" w:color="auto" w:fill="D9D9D9" w:themeFill="background1" w:themeFillShade="D9"/>
            <w:vAlign w:val="center"/>
          </w:tcPr>
          <w:p w:rsidR="00356441" w:rsidRPr="001755A8" w:rsidRDefault="00356441" w:rsidP="000C5608">
            <w:pPr>
              <w:rPr>
                <w:rFonts w:eastAsiaTheme="minorHAnsi"/>
                <w:sz w:val="20"/>
                <w:szCs w:val="20"/>
              </w:rPr>
            </w:pPr>
            <w:r w:rsidRPr="001755A8">
              <w:rPr>
                <w:sz w:val="20"/>
                <w:szCs w:val="20"/>
              </w:rPr>
              <w:t>Thursday:    </w:t>
            </w:r>
          </w:p>
        </w:tc>
        <w:tc>
          <w:tcPr>
            <w:tcW w:w="1386" w:type="dxa"/>
            <w:gridSpan w:val="2"/>
            <w:shd w:val="clear" w:color="auto" w:fill="D9D9D9" w:themeFill="background1" w:themeFillShade="D9"/>
          </w:tcPr>
          <w:p w:rsidR="00356441" w:rsidRPr="001755A8" w:rsidRDefault="00356441" w:rsidP="000C5608">
            <w:pPr>
              <w:jc w:val="center"/>
              <w:rPr>
                <w:rFonts w:eastAsiaTheme="minorHAnsi"/>
                <w:sz w:val="20"/>
                <w:szCs w:val="20"/>
              </w:rPr>
            </w:pPr>
            <w:r w:rsidRPr="001755A8">
              <w:rPr>
                <w:sz w:val="20"/>
                <w:szCs w:val="20"/>
              </w:rPr>
              <w:t>8:30-4:30</w:t>
            </w:r>
          </w:p>
        </w:tc>
      </w:tr>
      <w:tr w:rsidR="00356441" w:rsidTr="000C5608">
        <w:trPr>
          <w:trHeight w:val="80"/>
        </w:trPr>
        <w:tc>
          <w:tcPr>
            <w:tcW w:w="1456" w:type="dxa"/>
            <w:vMerge/>
            <w:tcBorders>
              <w:bottom w:val="single" w:sz="12" w:space="0" w:color="auto"/>
            </w:tcBorders>
            <w:vAlign w:val="center"/>
          </w:tcPr>
          <w:p w:rsidR="00356441" w:rsidRDefault="00356441" w:rsidP="000C5608">
            <w:pPr>
              <w:jc w:val="center"/>
            </w:pPr>
          </w:p>
        </w:tc>
        <w:tc>
          <w:tcPr>
            <w:tcW w:w="1456" w:type="dxa"/>
            <w:vMerge/>
            <w:tcBorders>
              <w:bottom w:val="single" w:sz="12" w:space="0" w:color="auto"/>
            </w:tcBorders>
            <w:vAlign w:val="center"/>
          </w:tcPr>
          <w:p w:rsidR="00356441" w:rsidRDefault="00356441" w:rsidP="000C5608">
            <w:pPr>
              <w:jc w:val="center"/>
            </w:pPr>
          </w:p>
        </w:tc>
        <w:tc>
          <w:tcPr>
            <w:tcW w:w="1455" w:type="dxa"/>
            <w:gridSpan w:val="2"/>
            <w:vMerge/>
            <w:tcBorders>
              <w:bottom w:val="single" w:sz="12" w:space="0" w:color="auto"/>
            </w:tcBorders>
            <w:vAlign w:val="center"/>
          </w:tcPr>
          <w:p w:rsidR="00356441" w:rsidRDefault="00356441" w:rsidP="000C5608">
            <w:pPr>
              <w:jc w:val="center"/>
            </w:pPr>
          </w:p>
        </w:tc>
        <w:tc>
          <w:tcPr>
            <w:tcW w:w="1678" w:type="dxa"/>
            <w:gridSpan w:val="2"/>
            <w:vMerge/>
            <w:tcBorders>
              <w:bottom w:val="single" w:sz="12" w:space="0" w:color="auto"/>
            </w:tcBorders>
            <w:vAlign w:val="center"/>
          </w:tcPr>
          <w:p w:rsidR="00356441" w:rsidRDefault="00356441" w:rsidP="000C5608">
            <w:pPr>
              <w:jc w:val="center"/>
            </w:pPr>
          </w:p>
        </w:tc>
        <w:tc>
          <w:tcPr>
            <w:tcW w:w="1434" w:type="dxa"/>
            <w:gridSpan w:val="2"/>
            <w:vMerge/>
            <w:tcBorders>
              <w:bottom w:val="single" w:sz="12" w:space="0" w:color="auto"/>
            </w:tcBorders>
            <w:vAlign w:val="center"/>
          </w:tcPr>
          <w:p w:rsidR="00356441" w:rsidRDefault="00356441" w:rsidP="000C5608">
            <w:pPr>
              <w:jc w:val="center"/>
            </w:pPr>
          </w:p>
        </w:tc>
        <w:tc>
          <w:tcPr>
            <w:tcW w:w="1073" w:type="dxa"/>
            <w:tcBorders>
              <w:bottom w:val="single" w:sz="12" w:space="0" w:color="auto"/>
            </w:tcBorders>
            <w:vAlign w:val="center"/>
          </w:tcPr>
          <w:p w:rsidR="00356441" w:rsidRPr="001755A8" w:rsidRDefault="00356441" w:rsidP="000C5608">
            <w:pPr>
              <w:rPr>
                <w:rFonts w:eastAsiaTheme="minorHAnsi"/>
                <w:sz w:val="20"/>
                <w:szCs w:val="20"/>
              </w:rPr>
            </w:pPr>
            <w:r w:rsidRPr="001755A8">
              <w:rPr>
                <w:sz w:val="20"/>
                <w:szCs w:val="20"/>
              </w:rPr>
              <w:t>Friday:          </w:t>
            </w:r>
          </w:p>
        </w:tc>
        <w:tc>
          <w:tcPr>
            <w:tcW w:w="1386" w:type="dxa"/>
            <w:gridSpan w:val="2"/>
            <w:tcBorders>
              <w:bottom w:val="single" w:sz="12" w:space="0" w:color="auto"/>
            </w:tcBorders>
          </w:tcPr>
          <w:p w:rsidR="00356441" w:rsidRPr="001755A8" w:rsidRDefault="00356441" w:rsidP="000C5608">
            <w:pPr>
              <w:jc w:val="center"/>
              <w:rPr>
                <w:rFonts w:eastAsiaTheme="minorHAnsi"/>
                <w:sz w:val="20"/>
                <w:szCs w:val="20"/>
              </w:rPr>
            </w:pPr>
            <w:r w:rsidRPr="001755A8">
              <w:rPr>
                <w:sz w:val="20"/>
                <w:szCs w:val="20"/>
              </w:rPr>
              <w:t>8:30-4:30</w:t>
            </w:r>
          </w:p>
        </w:tc>
      </w:tr>
    </w:tbl>
    <w:p w:rsidR="0076237B" w:rsidRPr="00E64DCD" w:rsidRDefault="0076237B" w:rsidP="00A93BF5">
      <w:pPr>
        <w:pStyle w:val="PlainText"/>
        <w:rPr>
          <w:rFonts w:asciiTheme="minorHAnsi" w:hAnsiTheme="minorHAnsi"/>
          <w:b/>
          <w:sz w:val="28"/>
          <w:szCs w:val="28"/>
          <w:u w:val="single"/>
        </w:rPr>
      </w:pPr>
      <w:bookmarkStart w:id="0" w:name="comp"/>
    </w:p>
    <w:p w:rsidR="00A93BF5" w:rsidRPr="00E64DCD" w:rsidRDefault="00A93BF5" w:rsidP="00A93BF5">
      <w:pPr>
        <w:pStyle w:val="PlainText"/>
        <w:rPr>
          <w:rFonts w:asciiTheme="minorHAnsi" w:hAnsiTheme="minorHAnsi"/>
          <w:b/>
          <w:sz w:val="28"/>
          <w:szCs w:val="28"/>
          <w:u w:val="single"/>
        </w:rPr>
      </w:pPr>
      <w:r w:rsidRPr="00E64DCD">
        <w:rPr>
          <w:rFonts w:asciiTheme="minorHAnsi" w:hAnsiTheme="minorHAnsi"/>
          <w:b/>
          <w:sz w:val="28"/>
          <w:szCs w:val="28"/>
          <w:u w:val="single"/>
        </w:rPr>
        <w:t>Computers and Technology</w:t>
      </w:r>
    </w:p>
    <w:bookmarkEnd w:id="0"/>
    <w:p w:rsidR="00892975" w:rsidRPr="00E64DCD" w:rsidRDefault="00892975" w:rsidP="00A93BF5">
      <w:pPr>
        <w:pStyle w:val="PlainText"/>
        <w:pBdr>
          <w:bottom w:val="single" w:sz="6" w:space="1" w:color="auto"/>
        </w:pBdr>
        <w:rPr>
          <w:rFonts w:asciiTheme="minorHAnsi" w:hAnsiTheme="minorHAnsi"/>
          <w:sz w:val="22"/>
          <w:szCs w:val="22"/>
          <w:u w:val="single"/>
        </w:rPr>
      </w:pPr>
      <w:r w:rsidRPr="00E64DCD">
        <w:rPr>
          <w:rFonts w:asciiTheme="minorHAnsi" w:hAnsiTheme="minorHAnsi"/>
          <w:b/>
          <w:sz w:val="20"/>
          <w:szCs w:val="20"/>
        </w:rPr>
        <w:br/>
      </w:r>
      <w:r w:rsidRPr="00E64DCD">
        <w:rPr>
          <w:rFonts w:asciiTheme="minorHAnsi" w:hAnsiTheme="minorHAnsi"/>
          <w:b/>
          <w:sz w:val="22"/>
          <w:szCs w:val="22"/>
        </w:rPr>
        <w:t xml:space="preserve">Computer and Information Science and Engineering (CISE) </w:t>
      </w:r>
      <w:r w:rsidR="005B50A3" w:rsidRPr="00E64DCD">
        <w:rPr>
          <w:rFonts w:asciiTheme="minorHAnsi" w:hAnsiTheme="minorHAnsi"/>
          <w:b/>
          <w:sz w:val="22"/>
          <w:szCs w:val="22"/>
        </w:rPr>
        <w:t xml:space="preserve">Research Initiation Initiative; </w:t>
      </w:r>
      <w:r w:rsidRPr="00E64DCD">
        <w:rPr>
          <w:rFonts w:asciiTheme="minorHAnsi" w:hAnsiTheme="minorHAnsi"/>
          <w:b/>
          <w:sz w:val="22"/>
          <w:szCs w:val="22"/>
        </w:rPr>
        <w:t>National Science Found</w:t>
      </w:r>
      <w:bookmarkStart w:id="1" w:name="_GoBack"/>
      <w:bookmarkEnd w:id="1"/>
      <w:r w:rsidRPr="00E64DCD">
        <w:rPr>
          <w:rFonts w:asciiTheme="minorHAnsi" w:hAnsiTheme="minorHAnsi"/>
          <w:b/>
          <w:sz w:val="22"/>
          <w:szCs w:val="22"/>
        </w:rPr>
        <w:t>ation (NSF); Directorate for Computer &amp; Information Science &amp; Engineering</w:t>
      </w:r>
      <w:r w:rsidR="005B50A3" w:rsidRPr="00E64DCD">
        <w:rPr>
          <w:rFonts w:asciiTheme="minorHAnsi" w:hAnsiTheme="minorHAnsi"/>
          <w:b/>
          <w:sz w:val="22"/>
          <w:szCs w:val="22"/>
        </w:rPr>
        <w:t>:</w:t>
      </w:r>
      <w:r w:rsidR="005B50A3" w:rsidRPr="00E64DCD">
        <w:rPr>
          <w:rFonts w:asciiTheme="minorHAnsi" w:hAnsiTheme="minorHAnsi"/>
          <w:sz w:val="22"/>
          <w:szCs w:val="22"/>
        </w:rPr>
        <w:t xml:space="preserve"> seeks</w:t>
      </w:r>
      <w:r w:rsidRPr="00E64DCD">
        <w:rPr>
          <w:rFonts w:asciiTheme="minorHAnsi" w:hAnsiTheme="minorHAnsi"/>
          <w:sz w:val="22"/>
          <w:szCs w:val="22"/>
        </w:rPr>
        <w:t xml:space="preserve"> proposals to initiate the course of one's independent research. Understanding the critical role of establishing that independence early in one's career, it is expected that funds will be used to support untenured faculty or research scientists (or equivalent) in their first two years in an ac</w:t>
      </w:r>
      <w:r w:rsidR="005B50A3" w:rsidRPr="00E64DCD">
        <w:rPr>
          <w:rFonts w:asciiTheme="minorHAnsi" w:hAnsiTheme="minorHAnsi"/>
          <w:sz w:val="22"/>
          <w:szCs w:val="22"/>
        </w:rPr>
        <w:t xml:space="preserve">ademic position after the PhD. </w:t>
      </w:r>
      <w:r w:rsidRPr="00E64DCD">
        <w:rPr>
          <w:rFonts w:asciiTheme="minorHAnsi" w:hAnsiTheme="minorHAnsi"/>
          <w:sz w:val="22"/>
          <w:szCs w:val="22"/>
        </w:rPr>
        <w:t>Proposals are due September 24, 2014</w:t>
      </w:r>
      <w:r w:rsidR="005B50A3" w:rsidRPr="00E64DCD">
        <w:rPr>
          <w:rFonts w:asciiTheme="minorHAnsi" w:hAnsiTheme="minorHAnsi"/>
          <w:sz w:val="22"/>
          <w:szCs w:val="22"/>
        </w:rPr>
        <w:t xml:space="preserve">. For more information, visit </w:t>
      </w:r>
      <w:hyperlink r:id="rId23" w:history="1">
        <w:r w:rsidRPr="00E64DCD">
          <w:rPr>
            <w:rStyle w:val="Hyperlink"/>
            <w:rFonts w:asciiTheme="minorHAnsi" w:hAnsiTheme="minorHAnsi"/>
            <w:sz w:val="22"/>
            <w:szCs w:val="22"/>
          </w:rPr>
          <w:t>Solicita</w:t>
        </w:r>
        <w:r w:rsidRPr="00E64DCD">
          <w:rPr>
            <w:rStyle w:val="Hyperlink"/>
            <w:rFonts w:asciiTheme="minorHAnsi" w:hAnsiTheme="minorHAnsi"/>
            <w:sz w:val="22"/>
            <w:szCs w:val="22"/>
          </w:rPr>
          <w:t>t</w:t>
        </w:r>
        <w:r w:rsidRPr="00E64DCD">
          <w:rPr>
            <w:rStyle w:val="Hyperlink"/>
            <w:rFonts w:asciiTheme="minorHAnsi" w:hAnsiTheme="minorHAnsi"/>
            <w:sz w:val="22"/>
            <w:szCs w:val="22"/>
          </w:rPr>
          <w:t>ion</w:t>
        </w:r>
      </w:hyperlink>
      <w:r w:rsidRPr="00E64DCD">
        <w:rPr>
          <w:rFonts w:asciiTheme="minorHAnsi" w:hAnsiTheme="minorHAnsi"/>
          <w:sz w:val="22"/>
          <w:szCs w:val="22"/>
        </w:rPr>
        <w:t xml:space="preserve">, </w:t>
      </w:r>
      <w:hyperlink r:id="rId24" w:history="1">
        <w:r w:rsidRPr="00E64DCD">
          <w:rPr>
            <w:rStyle w:val="Hyperlink"/>
            <w:rFonts w:asciiTheme="minorHAnsi" w:hAnsiTheme="minorHAnsi"/>
            <w:sz w:val="22"/>
            <w:szCs w:val="22"/>
          </w:rPr>
          <w:t>Grants.gov</w:t>
        </w:r>
      </w:hyperlink>
    </w:p>
    <w:p w:rsidR="00892975" w:rsidRPr="00E64DCD" w:rsidRDefault="00892975" w:rsidP="00A93BF5">
      <w:pPr>
        <w:pStyle w:val="PlainText"/>
        <w:pBdr>
          <w:bottom w:val="single" w:sz="6" w:space="1" w:color="auto"/>
        </w:pBdr>
        <w:rPr>
          <w:rFonts w:asciiTheme="minorHAnsi" w:hAnsiTheme="minorHAnsi"/>
          <w:sz w:val="20"/>
          <w:szCs w:val="20"/>
          <w:u w:val="single"/>
        </w:rPr>
      </w:pPr>
    </w:p>
    <w:p w:rsidR="00A93BF5" w:rsidRPr="00E64DCD" w:rsidRDefault="00A93BF5" w:rsidP="00A93BF5">
      <w:pPr>
        <w:pStyle w:val="PlainText"/>
        <w:rPr>
          <w:rFonts w:asciiTheme="minorHAnsi" w:hAnsiTheme="minorHAnsi"/>
        </w:rPr>
      </w:pPr>
    </w:p>
    <w:p w:rsidR="003C56D3" w:rsidRPr="00E64DCD" w:rsidRDefault="00A93BF5" w:rsidP="00A93BF5">
      <w:pPr>
        <w:pStyle w:val="PlainText"/>
        <w:rPr>
          <w:rFonts w:asciiTheme="minorHAnsi" w:hAnsiTheme="minorHAnsi"/>
          <w:b/>
          <w:sz w:val="28"/>
          <w:szCs w:val="28"/>
          <w:u w:val="single"/>
        </w:rPr>
      </w:pPr>
      <w:bookmarkStart w:id="2" w:name="edu"/>
      <w:r w:rsidRPr="00E64DCD">
        <w:rPr>
          <w:rFonts w:asciiTheme="minorHAnsi" w:hAnsiTheme="minorHAnsi"/>
          <w:b/>
          <w:sz w:val="28"/>
          <w:szCs w:val="28"/>
          <w:u w:val="single"/>
        </w:rPr>
        <w:t>Education</w:t>
      </w:r>
    </w:p>
    <w:p w:rsidR="003C56D3" w:rsidRPr="00E64DCD" w:rsidRDefault="003C56D3" w:rsidP="00A93BF5">
      <w:pPr>
        <w:pStyle w:val="PlainText"/>
        <w:rPr>
          <w:rFonts w:asciiTheme="minorHAnsi" w:hAnsiTheme="minorHAnsi"/>
          <w:b/>
          <w:sz w:val="20"/>
          <w:szCs w:val="20"/>
          <w:u w:val="single"/>
        </w:rPr>
      </w:pPr>
    </w:p>
    <w:p w:rsidR="00A93BF5" w:rsidRPr="00E64DCD" w:rsidRDefault="003C56D3" w:rsidP="00A93BF5">
      <w:pPr>
        <w:pStyle w:val="PlainText"/>
        <w:pBdr>
          <w:bottom w:val="single" w:sz="6" w:space="1" w:color="auto"/>
        </w:pBdr>
        <w:rPr>
          <w:rFonts w:asciiTheme="minorHAnsi" w:hAnsiTheme="minorHAnsi"/>
          <w:b/>
          <w:sz w:val="22"/>
          <w:szCs w:val="22"/>
        </w:rPr>
      </w:pPr>
      <w:r w:rsidRPr="00E64DCD">
        <w:rPr>
          <w:rFonts w:asciiTheme="minorHAnsi" w:hAnsiTheme="minorHAnsi"/>
          <w:b/>
          <w:sz w:val="22"/>
          <w:szCs w:val="22"/>
        </w:rPr>
        <w:t xml:space="preserve">ED Brings back TQP; United States Department of Education: </w:t>
      </w:r>
      <w:r w:rsidRPr="00E64DCD">
        <w:rPr>
          <w:rFonts w:asciiTheme="minorHAnsi" w:eastAsiaTheme="minorHAnsi" w:hAnsiTheme="minorHAnsi"/>
          <w:sz w:val="22"/>
          <w:szCs w:val="22"/>
        </w:rPr>
        <w:t xml:space="preserve">GRC recently received confirmation that the U.S. Department of Education’s </w:t>
      </w:r>
      <w:r w:rsidRPr="00E64DCD">
        <w:rPr>
          <w:rFonts w:asciiTheme="minorHAnsi" w:eastAsiaTheme="minorHAnsi" w:hAnsiTheme="minorHAnsi"/>
          <w:sz w:val="22"/>
          <w:szCs w:val="22"/>
        </w:rPr>
        <w:t xml:space="preserve">Teacher Quality Partnerships (TQP) Grant </w:t>
      </w:r>
      <w:r w:rsidRPr="00E64DCD">
        <w:rPr>
          <w:rFonts w:asciiTheme="minorHAnsi" w:eastAsiaTheme="minorHAnsi" w:hAnsiTheme="minorHAnsi"/>
          <w:sz w:val="22"/>
          <w:szCs w:val="22"/>
        </w:rPr>
        <w:t>P</w:t>
      </w:r>
      <w:r w:rsidRPr="00E64DCD">
        <w:rPr>
          <w:rFonts w:asciiTheme="minorHAnsi" w:eastAsiaTheme="minorHAnsi" w:hAnsiTheme="minorHAnsi"/>
          <w:sz w:val="22"/>
          <w:szCs w:val="22"/>
        </w:rPr>
        <w:t>rogram</w:t>
      </w:r>
      <w:r w:rsidRPr="00E64DCD">
        <w:rPr>
          <w:rFonts w:asciiTheme="minorHAnsi" w:eastAsiaTheme="minorHAnsi" w:hAnsiTheme="minorHAnsi"/>
          <w:sz w:val="22"/>
          <w:szCs w:val="22"/>
        </w:rPr>
        <w:t xml:space="preserve"> is making a comeback after a five-year hiatus. TQP, a very popular program during its heyday, supports collaborations among school systems and institutions of higher education to recruit and train effective teachers for high-need areas. The solicitation is expected sometime after Memorial Day with a 45-day submission window; webinars are also expected.</w:t>
      </w:r>
      <w:r w:rsidRPr="00E64DCD">
        <w:rPr>
          <w:rFonts w:asciiTheme="minorHAnsi" w:eastAsiaTheme="minorHAnsi" w:hAnsiTheme="minorHAnsi"/>
          <w:sz w:val="22"/>
          <w:szCs w:val="22"/>
        </w:rPr>
        <w:t xml:space="preserve"> </w:t>
      </w:r>
      <w:r w:rsidR="00564DBC" w:rsidRPr="00E64DCD">
        <w:rPr>
          <w:rFonts w:asciiTheme="minorHAnsi" w:eastAsiaTheme="minorHAnsi" w:hAnsiTheme="minorHAnsi"/>
          <w:sz w:val="22"/>
          <w:szCs w:val="22"/>
        </w:rPr>
        <w:t xml:space="preserve">For more information on the program, visit </w:t>
      </w:r>
      <w:hyperlink r:id="rId25" w:history="1">
        <w:r w:rsidR="00564DBC" w:rsidRPr="00E64DCD">
          <w:rPr>
            <w:rStyle w:val="Hyperlink"/>
            <w:rFonts w:asciiTheme="minorHAnsi" w:eastAsiaTheme="minorHAnsi" w:hAnsiTheme="minorHAnsi"/>
            <w:sz w:val="22"/>
            <w:szCs w:val="22"/>
          </w:rPr>
          <w:t>ED.gov</w:t>
        </w:r>
      </w:hyperlink>
    </w:p>
    <w:p w:rsidR="00564DBC" w:rsidRPr="00E64DCD" w:rsidRDefault="00564DBC" w:rsidP="00A93BF5">
      <w:pPr>
        <w:pStyle w:val="PlainText"/>
        <w:pBdr>
          <w:bottom w:val="single" w:sz="6" w:space="1" w:color="auto"/>
          <w:between w:val="single" w:sz="6" w:space="1" w:color="auto"/>
        </w:pBdr>
        <w:rPr>
          <w:rFonts w:asciiTheme="minorHAnsi" w:hAnsiTheme="minorHAnsi"/>
          <w:b/>
          <w:sz w:val="20"/>
          <w:szCs w:val="20"/>
          <w:u w:val="single"/>
        </w:rPr>
      </w:pPr>
    </w:p>
    <w:p w:rsidR="00564DBC" w:rsidRPr="00E64DCD" w:rsidRDefault="00564DBC" w:rsidP="00A93BF5">
      <w:pPr>
        <w:pStyle w:val="PlainText"/>
        <w:pBdr>
          <w:bottom w:val="single" w:sz="6" w:space="1" w:color="auto"/>
        </w:pBdr>
        <w:rPr>
          <w:rFonts w:asciiTheme="minorHAnsi" w:hAnsiTheme="minorHAnsi"/>
          <w:b/>
          <w:sz w:val="20"/>
          <w:szCs w:val="20"/>
          <w:u w:val="single"/>
        </w:rPr>
      </w:pPr>
    </w:p>
    <w:p w:rsidR="0085250B" w:rsidRPr="00E64DCD" w:rsidRDefault="0085250B" w:rsidP="00A93BF5">
      <w:pPr>
        <w:pStyle w:val="PlainText"/>
        <w:pBdr>
          <w:bottom w:val="single" w:sz="6" w:space="1" w:color="auto"/>
        </w:pBdr>
        <w:rPr>
          <w:rFonts w:asciiTheme="minorHAnsi" w:hAnsiTheme="minorHAnsi" w:cs="Times New Roman"/>
          <w:sz w:val="22"/>
          <w:szCs w:val="20"/>
        </w:rPr>
      </w:pPr>
      <w:r w:rsidRPr="00E64DCD">
        <w:rPr>
          <w:rFonts w:asciiTheme="minorHAnsi" w:hAnsiTheme="minorHAnsi" w:cs="Times New Roman"/>
          <w:b/>
          <w:sz w:val="22"/>
          <w:szCs w:val="20"/>
        </w:rPr>
        <w:t xml:space="preserve">First in the World; United States Department of Education: </w:t>
      </w:r>
      <w:r w:rsidRPr="00E64DCD">
        <w:rPr>
          <w:rFonts w:asciiTheme="minorHAnsi" w:eastAsiaTheme="minorHAnsi" w:hAnsiTheme="minorHAnsi" w:cstheme="minorBidi"/>
          <w:color w:val="000000"/>
          <w:sz w:val="22"/>
          <w:szCs w:val="22"/>
          <w:shd w:val="clear" w:color="auto" w:fill="FFFFFF"/>
        </w:rPr>
        <w:t xml:space="preserve">supports proposals that spur the development of innovations that improve educational outcomes and make college more affordable for students and families, and to develop an evidence base of effective practices. Proposals are due June 30, 2014. For more information, visit </w:t>
      </w:r>
      <w:hyperlink r:id="rId26" w:history="1">
        <w:r w:rsidRPr="00E64DCD">
          <w:rPr>
            <w:rStyle w:val="Hyperlink"/>
            <w:rFonts w:asciiTheme="minorHAnsi" w:eastAsiaTheme="minorHAnsi" w:hAnsiTheme="minorHAnsi" w:cstheme="minorBidi"/>
            <w:sz w:val="22"/>
            <w:szCs w:val="22"/>
            <w:shd w:val="clear" w:color="auto" w:fill="FFFFFF"/>
          </w:rPr>
          <w:t>Ed.gov</w:t>
        </w:r>
      </w:hyperlink>
    </w:p>
    <w:p w:rsidR="0085250B" w:rsidRPr="00E64DCD" w:rsidRDefault="0085250B" w:rsidP="00A93BF5">
      <w:pPr>
        <w:pStyle w:val="PlainText"/>
        <w:pBdr>
          <w:bottom w:val="single" w:sz="6" w:space="1" w:color="auto"/>
        </w:pBdr>
        <w:rPr>
          <w:rFonts w:asciiTheme="minorHAnsi" w:hAnsiTheme="minorHAnsi"/>
          <w:b/>
          <w:sz w:val="20"/>
          <w:szCs w:val="20"/>
          <w:u w:val="single"/>
        </w:rPr>
      </w:pPr>
    </w:p>
    <w:p w:rsidR="0090502A" w:rsidRPr="00E64DCD" w:rsidRDefault="0090502A" w:rsidP="00A93BF5">
      <w:pPr>
        <w:pStyle w:val="PlainText"/>
        <w:rPr>
          <w:rFonts w:asciiTheme="minorHAnsi" w:hAnsiTheme="minorHAnsi"/>
          <w:b/>
          <w:sz w:val="20"/>
          <w:szCs w:val="20"/>
          <w:u w:val="single"/>
        </w:rPr>
      </w:pPr>
    </w:p>
    <w:p w:rsidR="00452090" w:rsidRPr="00E64DCD" w:rsidRDefault="00452090" w:rsidP="00452090">
      <w:pPr>
        <w:pStyle w:val="NormalWeb"/>
        <w:spacing w:before="0" w:after="0" w:line="240" w:lineRule="auto"/>
        <w:rPr>
          <w:rFonts w:asciiTheme="minorHAnsi" w:eastAsiaTheme="minorHAnsi" w:hAnsiTheme="minorHAnsi" w:cstheme="minorBidi"/>
          <w:b/>
          <w:color w:val="000000"/>
          <w:sz w:val="22"/>
          <w:szCs w:val="22"/>
          <w:shd w:val="clear" w:color="auto" w:fill="FFFFFF"/>
        </w:rPr>
      </w:pPr>
      <w:r w:rsidRPr="00E64DCD">
        <w:rPr>
          <w:rFonts w:asciiTheme="minorHAnsi" w:eastAsiaTheme="minorHAnsi" w:hAnsiTheme="minorHAnsi" w:cstheme="minorBidi"/>
          <w:b/>
          <w:color w:val="000000"/>
          <w:sz w:val="22"/>
          <w:szCs w:val="22"/>
          <w:shd w:val="clear" w:color="auto" w:fill="FFFFFF"/>
        </w:rPr>
        <w:t xml:space="preserve">Improving Education Systems: Policies, Organization, Management, and Leadership; U.S. Department of Education: </w:t>
      </w:r>
      <w:r w:rsidRPr="00E64DCD">
        <w:rPr>
          <w:rFonts w:asciiTheme="minorHAnsi" w:eastAsiaTheme="minorHAnsi" w:hAnsiTheme="minorHAnsi" w:cstheme="minorBidi"/>
          <w:color w:val="000000"/>
          <w:sz w:val="22"/>
          <w:szCs w:val="22"/>
          <w:shd w:val="clear" w:color="auto" w:fill="FFFFFF"/>
        </w:rPr>
        <w:t>supports the improvement of student learning through direct improvements in the organization and management of schools and education systems and through the establishment of policies intended to foster such improvements.</w:t>
      </w:r>
      <w:r w:rsidR="00F85842" w:rsidRPr="00E64DCD">
        <w:rPr>
          <w:rFonts w:asciiTheme="minorHAnsi" w:eastAsiaTheme="minorHAnsi" w:hAnsiTheme="minorHAnsi" w:cstheme="minorBidi"/>
          <w:color w:val="000000"/>
          <w:sz w:val="22"/>
          <w:szCs w:val="22"/>
          <w:shd w:val="clear" w:color="auto" w:fill="FFFFFF"/>
        </w:rPr>
        <w:t xml:space="preserve"> Letters of intent are strongly encouraged and due by June 5, 2014. Proposals are due August 7, 2014. For more information, visit </w:t>
      </w:r>
      <w:hyperlink r:id="rId27" w:history="1">
        <w:r w:rsidR="00ED0277" w:rsidRPr="00E64DCD">
          <w:rPr>
            <w:rStyle w:val="Hyperlink"/>
            <w:rFonts w:asciiTheme="minorHAnsi" w:eastAsiaTheme="minorHAnsi" w:hAnsiTheme="minorHAnsi" w:cstheme="minorBidi"/>
            <w:sz w:val="22"/>
            <w:szCs w:val="22"/>
            <w:shd w:val="clear" w:color="auto" w:fill="FFFFFF"/>
          </w:rPr>
          <w:t>IES.</w:t>
        </w:r>
        <w:r w:rsidR="00F85842" w:rsidRPr="00E64DCD">
          <w:rPr>
            <w:rStyle w:val="Hyperlink"/>
            <w:rFonts w:asciiTheme="minorHAnsi" w:eastAsiaTheme="minorHAnsi" w:hAnsiTheme="minorHAnsi" w:cstheme="minorBidi"/>
            <w:sz w:val="22"/>
            <w:szCs w:val="22"/>
            <w:shd w:val="clear" w:color="auto" w:fill="FFFFFF"/>
          </w:rPr>
          <w:t>Ed.gov</w:t>
        </w:r>
      </w:hyperlink>
      <w:r w:rsidR="00F85842" w:rsidRPr="00E64DCD">
        <w:rPr>
          <w:rFonts w:asciiTheme="minorHAnsi" w:eastAsiaTheme="minorHAnsi" w:hAnsiTheme="minorHAnsi" w:cstheme="minorBidi"/>
          <w:color w:val="000000"/>
          <w:sz w:val="22"/>
          <w:szCs w:val="22"/>
          <w:shd w:val="clear" w:color="auto" w:fill="FFFFFF"/>
        </w:rPr>
        <w:t xml:space="preserve"> </w:t>
      </w:r>
    </w:p>
    <w:p w:rsidR="00F85842" w:rsidRPr="00E64DCD" w:rsidRDefault="00F85842" w:rsidP="00A93BF5">
      <w:pPr>
        <w:pStyle w:val="PlainText"/>
        <w:pBdr>
          <w:bottom w:val="single" w:sz="6" w:space="1" w:color="auto"/>
        </w:pBdr>
        <w:rPr>
          <w:rFonts w:asciiTheme="minorHAnsi" w:hAnsiTheme="minorHAnsi"/>
          <w:b/>
          <w:sz w:val="20"/>
          <w:szCs w:val="20"/>
          <w:u w:val="single"/>
        </w:rPr>
      </w:pPr>
    </w:p>
    <w:p w:rsidR="00ED0277" w:rsidRPr="00E64DCD" w:rsidRDefault="00ED0277" w:rsidP="00ED0277">
      <w:pPr>
        <w:pStyle w:val="NormalWeb"/>
        <w:spacing w:before="0" w:after="0" w:line="240" w:lineRule="auto"/>
        <w:rPr>
          <w:rFonts w:asciiTheme="minorHAnsi" w:eastAsiaTheme="minorHAnsi" w:hAnsiTheme="minorHAnsi" w:cstheme="minorBidi"/>
          <w:b/>
          <w:color w:val="000000"/>
          <w:sz w:val="22"/>
          <w:szCs w:val="22"/>
          <w:shd w:val="clear" w:color="auto" w:fill="FFFFFF"/>
        </w:rPr>
      </w:pPr>
    </w:p>
    <w:p w:rsidR="00F85842" w:rsidRPr="00E64DCD" w:rsidRDefault="00ED0277" w:rsidP="00ED0277">
      <w:pPr>
        <w:pStyle w:val="NormalWeb"/>
        <w:spacing w:before="0" w:after="0" w:line="240" w:lineRule="auto"/>
        <w:rPr>
          <w:rFonts w:asciiTheme="minorHAnsi" w:eastAsiaTheme="minorHAnsi" w:hAnsiTheme="minorHAnsi" w:cstheme="minorBidi"/>
          <w:b/>
          <w:color w:val="000000"/>
          <w:sz w:val="22"/>
          <w:szCs w:val="22"/>
          <w:shd w:val="clear" w:color="auto" w:fill="FFFFFF"/>
        </w:rPr>
      </w:pPr>
      <w:r w:rsidRPr="00E64DCD">
        <w:rPr>
          <w:rFonts w:asciiTheme="minorHAnsi" w:eastAsiaTheme="minorHAnsi" w:hAnsiTheme="minorHAnsi" w:cstheme="minorBidi"/>
          <w:b/>
          <w:color w:val="000000"/>
          <w:sz w:val="22"/>
          <w:szCs w:val="22"/>
          <w:shd w:val="clear" w:color="auto" w:fill="FFFFFF"/>
        </w:rPr>
        <w:t xml:space="preserve">Statistical and Research Methodology in Education; U.S. Department of Education: </w:t>
      </w:r>
      <w:r w:rsidRPr="00E64DCD">
        <w:rPr>
          <w:rFonts w:asciiTheme="minorHAnsi" w:eastAsiaTheme="minorHAnsi" w:hAnsiTheme="minorHAnsi" w:cstheme="minorBidi"/>
          <w:color w:val="000000"/>
          <w:sz w:val="22"/>
          <w:szCs w:val="22"/>
          <w:shd w:val="clear" w:color="auto" w:fill="FFFFFF"/>
        </w:rPr>
        <w:t xml:space="preserve">supports research to advance education research methodologies and statistical analyses. The long-term outcome of this research program will be a wide-range of methodological and statistical tools that will enable education scientists to conduct rigorous education research. In FY 15, there are two categories: regular grants which are similar to projects that have been funded under previous competitions and Early Career grants. LOIs strongly encouraged by June 5, 2014. For more information, visit </w:t>
      </w:r>
      <w:hyperlink r:id="rId28" w:history="1">
        <w:r w:rsidRPr="00E64DCD">
          <w:rPr>
            <w:rStyle w:val="Hyperlink"/>
            <w:rFonts w:asciiTheme="minorHAnsi" w:eastAsiaTheme="minorHAnsi" w:hAnsiTheme="minorHAnsi" w:cstheme="minorBidi"/>
            <w:sz w:val="22"/>
            <w:szCs w:val="22"/>
            <w:shd w:val="clear" w:color="auto" w:fill="FFFFFF"/>
          </w:rPr>
          <w:t>IES.ED.gov</w:t>
        </w:r>
      </w:hyperlink>
    </w:p>
    <w:p w:rsidR="00ED0277" w:rsidRPr="00E64DCD" w:rsidRDefault="00ED0277" w:rsidP="00ED0277">
      <w:pPr>
        <w:pStyle w:val="PlainText"/>
        <w:pBdr>
          <w:bottom w:val="single" w:sz="6" w:space="1" w:color="auto"/>
        </w:pBdr>
        <w:rPr>
          <w:rFonts w:asciiTheme="minorHAnsi" w:eastAsiaTheme="minorHAnsi" w:hAnsiTheme="minorHAnsi" w:cstheme="minorBidi"/>
          <w:color w:val="000000"/>
          <w:sz w:val="22"/>
          <w:szCs w:val="22"/>
          <w:shd w:val="clear" w:color="auto" w:fill="FFFFFF"/>
        </w:rPr>
      </w:pPr>
    </w:p>
    <w:bookmarkEnd w:id="2"/>
    <w:p w:rsidR="00A93BF5" w:rsidRPr="00E64DCD" w:rsidRDefault="00A93BF5" w:rsidP="00A93BF5">
      <w:pPr>
        <w:pStyle w:val="PlainText"/>
        <w:rPr>
          <w:rFonts w:asciiTheme="minorHAnsi" w:hAnsiTheme="minorHAnsi"/>
          <w:b/>
          <w:sz w:val="20"/>
          <w:szCs w:val="20"/>
          <w:u w:val="single"/>
        </w:rPr>
      </w:pPr>
    </w:p>
    <w:p w:rsidR="00A93BF5" w:rsidRPr="00E64DCD" w:rsidRDefault="00A93BF5" w:rsidP="00A93BF5">
      <w:pPr>
        <w:pStyle w:val="PlainText"/>
        <w:rPr>
          <w:rFonts w:asciiTheme="minorHAnsi" w:hAnsiTheme="minorHAnsi"/>
          <w:b/>
          <w:sz w:val="28"/>
          <w:szCs w:val="28"/>
          <w:u w:val="single"/>
        </w:rPr>
      </w:pPr>
      <w:bookmarkStart w:id="3" w:name="fel"/>
      <w:r w:rsidRPr="00E64DCD">
        <w:rPr>
          <w:rFonts w:asciiTheme="minorHAnsi" w:hAnsiTheme="minorHAnsi"/>
          <w:b/>
          <w:sz w:val="28"/>
          <w:szCs w:val="28"/>
          <w:u w:val="single"/>
        </w:rPr>
        <w:t>Fellowships and Scholarships</w:t>
      </w:r>
    </w:p>
    <w:bookmarkEnd w:id="3"/>
    <w:p w:rsidR="00D42323" w:rsidRPr="00E64DCD" w:rsidRDefault="00D42323" w:rsidP="00D42323">
      <w:pPr>
        <w:pBdr>
          <w:bottom w:val="single" w:sz="6" w:space="1" w:color="auto"/>
        </w:pBdr>
        <w:rPr>
          <w:rFonts w:asciiTheme="minorHAnsi" w:hAnsiTheme="minorHAnsi"/>
          <w:sz w:val="20"/>
          <w:szCs w:val="20"/>
        </w:rPr>
      </w:pPr>
    </w:p>
    <w:p w:rsidR="00D42323" w:rsidRPr="00E64DCD" w:rsidRDefault="00D42323" w:rsidP="00D42323">
      <w:pPr>
        <w:pBdr>
          <w:bottom w:val="single" w:sz="6" w:space="1" w:color="auto"/>
        </w:pBdr>
        <w:rPr>
          <w:rFonts w:asciiTheme="minorHAnsi" w:hAnsiTheme="minorHAnsi"/>
        </w:rPr>
      </w:pPr>
      <w:r w:rsidRPr="00E64DCD">
        <w:rPr>
          <w:rFonts w:asciiTheme="minorHAnsi" w:hAnsiTheme="minorHAnsi"/>
          <w:b/>
          <w:bCs/>
        </w:rPr>
        <w:t xml:space="preserve">Internship Programs; American Institute for Economic Research (AIER) </w:t>
      </w:r>
      <w:r w:rsidRPr="00E64DCD">
        <w:rPr>
          <w:rFonts w:asciiTheme="minorHAnsi" w:hAnsiTheme="minorHAnsi"/>
        </w:rPr>
        <w:t xml:space="preserve">supports summer research in residence at the institute in areas such as money, banking, &amp; credit; public &amp; personal finance; economic &amp; monetary history; and other topics. Internships introduce accomplished undergraduate and graduate students to economic research. Applications are due April 1 deadline for summer, August 1 for fall semester, and December 1 for spring. For more information, visit </w:t>
      </w:r>
      <w:hyperlink r:id="rId29" w:history="1">
        <w:r w:rsidRPr="00E64DCD">
          <w:rPr>
            <w:rStyle w:val="Hyperlink"/>
            <w:rFonts w:asciiTheme="minorHAnsi" w:hAnsiTheme="minorHAnsi"/>
          </w:rPr>
          <w:t>https://www.aier.org/article/1137-internship-program</w:t>
        </w:r>
      </w:hyperlink>
    </w:p>
    <w:p w:rsidR="00D42323" w:rsidRPr="00E64DCD" w:rsidRDefault="00D42323" w:rsidP="00A93BF5">
      <w:pPr>
        <w:pStyle w:val="PlainText"/>
        <w:pBdr>
          <w:bottom w:val="single" w:sz="6" w:space="1" w:color="auto"/>
        </w:pBdr>
        <w:rPr>
          <w:rFonts w:asciiTheme="minorHAnsi" w:hAnsiTheme="minorHAnsi"/>
          <w:sz w:val="20"/>
          <w:szCs w:val="20"/>
        </w:rPr>
      </w:pPr>
    </w:p>
    <w:p w:rsidR="00A93BF5" w:rsidRPr="00E64DCD" w:rsidRDefault="00A93BF5" w:rsidP="00A93BF5">
      <w:pPr>
        <w:pStyle w:val="PlainText"/>
        <w:rPr>
          <w:rFonts w:asciiTheme="minorHAnsi" w:hAnsiTheme="minorHAnsi" w:cs="Times New Roman"/>
          <w:sz w:val="20"/>
          <w:szCs w:val="20"/>
          <w:u w:val="single"/>
        </w:rPr>
      </w:pPr>
      <w:bookmarkStart w:id="4" w:name="hea"/>
    </w:p>
    <w:p w:rsidR="00A93BF5" w:rsidRPr="00E64DCD" w:rsidRDefault="00A93BF5" w:rsidP="00A93BF5">
      <w:pPr>
        <w:pStyle w:val="PlainText"/>
        <w:rPr>
          <w:rFonts w:asciiTheme="minorHAnsi" w:hAnsiTheme="minorHAnsi" w:cs="Times New Roman"/>
          <w:b/>
          <w:sz w:val="28"/>
          <w:szCs w:val="28"/>
          <w:u w:val="single"/>
        </w:rPr>
      </w:pPr>
      <w:r w:rsidRPr="00E64DCD">
        <w:rPr>
          <w:rFonts w:asciiTheme="minorHAnsi" w:hAnsiTheme="minorHAnsi" w:cs="Times New Roman"/>
          <w:b/>
          <w:sz w:val="28"/>
          <w:szCs w:val="28"/>
          <w:u w:val="single"/>
        </w:rPr>
        <w:t>Health</w:t>
      </w:r>
    </w:p>
    <w:bookmarkEnd w:id="4"/>
    <w:p w:rsidR="00092B52" w:rsidRPr="00E64DCD" w:rsidRDefault="00092B52" w:rsidP="00092B52">
      <w:pPr>
        <w:pStyle w:val="NormalWeb"/>
        <w:spacing w:before="0" w:after="0" w:line="240" w:lineRule="auto"/>
        <w:rPr>
          <w:rFonts w:asciiTheme="minorHAnsi" w:eastAsia="Calibri" w:hAnsiTheme="minorHAnsi" w:cs="Times New Roman"/>
          <w:b/>
          <w:color w:val="auto"/>
          <w:sz w:val="22"/>
          <w:szCs w:val="22"/>
        </w:rPr>
      </w:pPr>
    </w:p>
    <w:p w:rsidR="00092B52" w:rsidRPr="00E64DCD" w:rsidRDefault="00092B52" w:rsidP="00092B52">
      <w:pPr>
        <w:pStyle w:val="NormalWeb"/>
        <w:spacing w:before="0" w:after="0" w:line="240" w:lineRule="auto"/>
        <w:rPr>
          <w:rFonts w:asciiTheme="minorHAnsi" w:eastAsia="Calibri" w:hAnsiTheme="minorHAnsi" w:cs="Times New Roman"/>
          <w:b/>
          <w:color w:val="auto"/>
          <w:sz w:val="22"/>
          <w:szCs w:val="22"/>
        </w:rPr>
      </w:pPr>
      <w:r w:rsidRPr="00E64DCD">
        <w:rPr>
          <w:rFonts w:asciiTheme="minorHAnsi" w:eastAsia="Calibri" w:hAnsiTheme="minorHAnsi" w:cs="Times New Roman"/>
          <w:b/>
          <w:color w:val="auto"/>
          <w:sz w:val="22"/>
          <w:szCs w:val="22"/>
        </w:rPr>
        <w:t xml:space="preserve">Health Services Research Dissertation Program; Agency for Healthcare Research and Quality: </w:t>
      </w:r>
      <w:r w:rsidRPr="00E64DCD">
        <w:rPr>
          <w:rFonts w:asciiTheme="minorHAnsi" w:hAnsiTheme="minorHAnsi" w:cs="Times New Roman"/>
          <w:sz w:val="22"/>
          <w:szCs w:val="22"/>
        </w:rPr>
        <w:t>s</w:t>
      </w:r>
      <w:r w:rsidRPr="00E64DCD">
        <w:rPr>
          <w:rFonts w:asciiTheme="minorHAnsi" w:eastAsia="Calibri" w:hAnsiTheme="minorHAnsi" w:cs="Times New Roman"/>
          <w:sz w:val="22"/>
          <w:szCs w:val="22"/>
        </w:rPr>
        <w:t xml:space="preserve">upports dissertation research grants up to $40,000 for the entire project period for doctoral students studying to improve the quality, safety, efficiency, and effectiveness of health care in the U.S. Applicants strongly encouraged to focus on topical areas unique to AHRQ, demonstrating how expected results can be used to enhance healthcare quality. Results should be directly relevant to customers, such as providers and practitioners, administrators, payers, consumers, policymakers, and insurers. Proposals are due May 1, August 1, and November 1 annually. For more information, visit </w:t>
      </w:r>
      <w:hyperlink r:id="rId30" w:history="1">
        <w:r w:rsidRPr="00E64DCD">
          <w:rPr>
            <w:rStyle w:val="Hyperlink"/>
            <w:rFonts w:asciiTheme="minorHAnsi" w:eastAsia="Calibri" w:hAnsiTheme="minorHAnsi" w:cs="Times New Roman"/>
            <w:sz w:val="22"/>
            <w:szCs w:val="22"/>
          </w:rPr>
          <w:t>NIH.gov</w:t>
        </w:r>
      </w:hyperlink>
    </w:p>
    <w:p w:rsidR="00092B52" w:rsidRPr="00E64DCD" w:rsidRDefault="00092B52" w:rsidP="00A93BF5">
      <w:pPr>
        <w:pStyle w:val="PlainText"/>
        <w:pBdr>
          <w:bottom w:val="single" w:sz="6" w:space="1" w:color="auto"/>
        </w:pBdr>
        <w:rPr>
          <w:rFonts w:asciiTheme="minorHAnsi" w:hAnsiTheme="minorHAnsi"/>
          <w:sz w:val="20"/>
          <w:szCs w:val="20"/>
        </w:rPr>
      </w:pPr>
    </w:p>
    <w:p w:rsidR="00A93BF5" w:rsidRPr="00E64DCD" w:rsidRDefault="00A93BF5" w:rsidP="00A93BF5">
      <w:pPr>
        <w:pStyle w:val="PlainText"/>
        <w:rPr>
          <w:rFonts w:asciiTheme="minorHAnsi" w:hAnsiTheme="minorHAnsi" w:cs="Times New Roman"/>
          <w:sz w:val="20"/>
          <w:szCs w:val="20"/>
        </w:rPr>
      </w:pPr>
    </w:p>
    <w:p w:rsidR="00A93BF5" w:rsidRPr="00E64DCD" w:rsidRDefault="00A93BF5" w:rsidP="00A93BF5">
      <w:pPr>
        <w:rPr>
          <w:rFonts w:asciiTheme="minorHAnsi" w:hAnsiTheme="minorHAnsi"/>
          <w:b/>
          <w:sz w:val="28"/>
          <w:szCs w:val="28"/>
          <w:u w:val="single"/>
        </w:rPr>
      </w:pPr>
      <w:bookmarkStart w:id="5" w:name="hum"/>
      <w:r w:rsidRPr="00E64DCD">
        <w:rPr>
          <w:rFonts w:asciiTheme="minorHAnsi" w:hAnsiTheme="minorHAnsi"/>
          <w:b/>
          <w:sz w:val="28"/>
          <w:szCs w:val="28"/>
          <w:u w:val="single"/>
        </w:rPr>
        <w:t>Humanities and Language</w:t>
      </w:r>
    </w:p>
    <w:bookmarkEnd w:id="5"/>
    <w:p w:rsidR="00A93BF5" w:rsidRPr="00E64DCD" w:rsidRDefault="00A93BF5" w:rsidP="00A93BF5">
      <w:pPr>
        <w:pStyle w:val="PlainText"/>
        <w:pBdr>
          <w:bottom w:val="single" w:sz="6" w:space="1" w:color="auto"/>
        </w:pBdr>
        <w:rPr>
          <w:rFonts w:asciiTheme="minorHAnsi" w:hAnsiTheme="minorHAnsi"/>
          <w:sz w:val="20"/>
          <w:szCs w:val="20"/>
        </w:rPr>
      </w:pPr>
    </w:p>
    <w:p w:rsidR="00A70667" w:rsidRPr="00E64DCD" w:rsidRDefault="00A70667" w:rsidP="00A93BF5">
      <w:pPr>
        <w:pStyle w:val="PlainText"/>
        <w:pBdr>
          <w:bottom w:val="single" w:sz="6" w:space="1" w:color="auto"/>
        </w:pBdr>
        <w:rPr>
          <w:rFonts w:asciiTheme="minorHAnsi" w:hAnsiTheme="minorHAnsi"/>
        </w:rPr>
      </w:pPr>
      <w:r w:rsidRPr="00E64DCD">
        <w:rPr>
          <w:rFonts w:asciiTheme="minorHAnsi" w:hAnsiTheme="minorHAnsi"/>
          <w:b/>
          <w:sz w:val="22"/>
          <w:szCs w:val="22"/>
        </w:rPr>
        <w:t xml:space="preserve">Humanities Festival Grants; </w:t>
      </w:r>
      <w:r w:rsidRPr="00E64DCD">
        <w:rPr>
          <w:rFonts w:asciiTheme="minorHAnsi" w:eastAsia="Times New Roman" w:hAnsiTheme="minorHAnsi" w:cs="Lucida Sans Unicode"/>
          <w:b/>
          <w:color w:val="222222"/>
          <w:sz w:val="22"/>
          <w:szCs w:val="22"/>
        </w:rPr>
        <w:t xml:space="preserve">New Jersey Council for the Humanities: </w:t>
      </w:r>
      <w:r w:rsidRPr="00E64DCD">
        <w:rPr>
          <w:rFonts w:asciiTheme="minorHAnsi" w:eastAsia="Times New Roman" w:hAnsiTheme="minorHAnsi" w:cs="Lucida Sans Unicode"/>
          <w:color w:val="222222"/>
          <w:sz w:val="22"/>
          <w:szCs w:val="22"/>
        </w:rPr>
        <w:t xml:space="preserve">seeks nonprofit organizations interested in applying for the Council’s next festival grant deadline. </w:t>
      </w:r>
      <w:r w:rsidRPr="00E64DCD">
        <w:rPr>
          <w:rFonts w:asciiTheme="minorHAnsi" w:hAnsiTheme="minorHAnsi" w:cs="Lucida Sans Unicode"/>
          <w:color w:val="222222"/>
          <w:sz w:val="22"/>
          <w:szCs w:val="22"/>
          <w:shd w:val="clear" w:color="auto" w:fill="FFFFFF"/>
        </w:rPr>
        <w:t>The New Jersey Council for the Humanities awards Humanities Festival Grants of up to $500 once a year in celebration of National Arts and Humanities Month. The theme for 2014 is</w:t>
      </w:r>
      <w:r w:rsidRPr="00E64DCD">
        <w:rPr>
          <w:rFonts w:asciiTheme="minorHAnsi" w:hAnsiTheme="minorHAnsi"/>
          <w:sz w:val="22"/>
          <w:szCs w:val="22"/>
        </w:rPr>
        <w:t> </w:t>
      </w:r>
      <w:r w:rsidRPr="00E64DCD">
        <w:rPr>
          <w:rFonts w:asciiTheme="minorHAnsi" w:hAnsiTheme="minorHAnsi"/>
          <w:i/>
          <w:iCs/>
          <w:sz w:val="22"/>
          <w:szCs w:val="22"/>
        </w:rPr>
        <w:t>Celebrating 350 Years of New Jersey</w:t>
      </w:r>
      <w:r w:rsidRPr="00E64DCD">
        <w:rPr>
          <w:rFonts w:asciiTheme="minorHAnsi" w:hAnsiTheme="minorHAnsi" w:cs="Lucida Sans Unicode"/>
          <w:color w:val="222222"/>
          <w:sz w:val="22"/>
          <w:szCs w:val="22"/>
          <w:shd w:val="clear" w:color="auto" w:fill="FFFFFF"/>
        </w:rPr>
        <w:t>. Applications are due June 17, for projects taking place in October. </w:t>
      </w:r>
      <w:r w:rsidRPr="00E64DCD">
        <w:rPr>
          <w:rFonts w:asciiTheme="minorHAnsi" w:hAnsiTheme="minorHAnsi"/>
          <w:sz w:val="22"/>
          <w:szCs w:val="22"/>
        </w:rPr>
        <w:t>For more information, visit</w:t>
      </w:r>
      <w:r w:rsidRPr="00E64DCD">
        <w:rPr>
          <w:rFonts w:asciiTheme="minorHAnsi" w:hAnsiTheme="minorHAnsi"/>
          <w:color w:val="333333"/>
          <w:sz w:val="22"/>
          <w:szCs w:val="22"/>
        </w:rPr>
        <w:t xml:space="preserve"> </w:t>
      </w:r>
      <w:hyperlink r:id="rId31" w:tgtFrame="_blank" w:history="1">
        <w:r w:rsidRPr="00E64DCD">
          <w:rPr>
            <w:rStyle w:val="Hyperlink"/>
            <w:rFonts w:asciiTheme="minorHAnsi" w:hAnsiTheme="minorHAnsi"/>
            <w:sz w:val="22"/>
            <w:szCs w:val="22"/>
          </w:rPr>
          <w:t>NJCH.org</w:t>
        </w:r>
      </w:hyperlink>
    </w:p>
    <w:p w:rsidR="00A70667" w:rsidRPr="00E64DCD" w:rsidRDefault="00A70667" w:rsidP="00A93BF5">
      <w:pPr>
        <w:pStyle w:val="PlainText"/>
        <w:pBdr>
          <w:bottom w:val="single" w:sz="6" w:space="1" w:color="auto"/>
        </w:pBdr>
        <w:rPr>
          <w:rFonts w:asciiTheme="minorHAnsi" w:hAnsiTheme="minorHAnsi"/>
          <w:sz w:val="20"/>
          <w:szCs w:val="20"/>
        </w:rPr>
      </w:pPr>
    </w:p>
    <w:p w:rsidR="00A93BF5" w:rsidRPr="00E64DCD" w:rsidRDefault="00A93BF5" w:rsidP="00A93BF5">
      <w:pPr>
        <w:pStyle w:val="PlainText"/>
        <w:rPr>
          <w:rFonts w:asciiTheme="minorHAnsi" w:hAnsiTheme="minorHAnsi"/>
          <w:sz w:val="20"/>
          <w:szCs w:val="20"/>
        </w:rPr>
      </w:pPr>
    </w:p>
    <w:p w:rsidR="00A93BF5" w:rsidRPr="00E64DCD" w:rsidRDefault="00A93BF5" w:rsidP="00A93BF5">
      <w:pPr>
        <w:pStyle w:val="PlainText"/>
        <w:rPr>
          <w:rFonts w:asciiTheme="minorHAnsi" w:hAnsiTheme="minorHAnsi"/>
          <w:b/>
          <w:sz w:val="28"/>
          <w:szCs w:val="28"/>
          <w:u w:val="single"/>
        </w:rPr>
      </w:pPr>
      <w:bookmarkStart w:id="6" w:name="int"/>
      <w:r w:rsidRPr="00E64DCD">
        <w:rPr>
          <w:rFonts w:asciiTheme="minorHAnsi" w:hAnsiTheme="minorHAnsi"/>
          <w:b/>
          <w:sz w:val="28"/>
          <w:szCs w:val="28"/>
          <w:u w:val="single"/>
        </w:rPr>
        <w:t>International studies</w:t>
      </w:r>
    </w:p>
    <w:bookmarkEnd w:id="6"/>
    <w:p w:rsidR="00E120E7" w:rsidRPr="00E64DCD" w:rsidRDefault="00E120E7" w:rsidP="00E120E7">
      <w:pPr>
        <w:rPr>
          <w:rFonts w:asciiTheme="minorHAnsi" w:hAnsiTheme="minorHAnsi"/>
          <w:b/>
          <w:sz w:val="20"/>
          <w:szCs w:val="20"/>
        </w:rPr>
      </w:pPr>
    </w:p>
    <w:p w:rsidR="00A93BF5" w:rsidRPr="00E64DCD" w:rsidRDefault="00E120E7" w:rsidP="00E120E7">
      <w:pPr>
        <w:rPr>
          <w:rFonts w:asciiTheme="minorHAnsi" w:hAnsiTheme="minorHAnsi"/>
        </w:rPr>
      </w:pPr>
      <w:r w:rsidRPr="00E64DCD">
        <w:rPr>
          <w:rFonts w:asciiTheme="minorHAnsi" w:hAnsiTheme="minorHAnsi"/>
          <w:b/>
        </w:rPr>
        <w:t xml:space="preserve">Fulbright U.S. Student Program; United States Department of State's Bureau of Educational and Cultural Affairs (ECA): </w:t>
      </w:r>
      <w:r w:rsidRPr="00E64DCD">
        <w:rPr>
          <w:rFonts w:asciiTheme="minorHAnsi" w:hAnsiTheme="minorHAnsi" w:cs="Arial"/>
          <w:shd w:val="clear" w:color="auto" w:fill="FFFFFF"/>
        </w:rPr>
        <w:t>provides grants for individually designed study/research projects or for English Teaching Assistantships.  A candidate will submit a</w:t>
      </w:r>
      <w:r w:rsidRPr="00E64DCD">
        <w:rPr>
          <w:rStyle w:val="apple-converted-space"/>
          <w:rFonts w:asciiTheme="minorHAnsi" w:hAnsiTheme="minorHAnsi" w:cs="Arial"/>
          <w:shd w:val="clear" w:color="auto" w:fill="FFFFFF"/>
        </w:rPr>
        <w:t> </w:t>
      </w:r>
      <w:r w:rsidRPr="00E64DCD">
        <w:rPr>
          <w:rStyle w:val="Emphasis"/>
          <w:rFonts w:asciiTheme="minorHAnsi" w:hAnsiTheme="minorHAnsi" w:cs="Arial"/>
          <w:bdr w:val="none" w:sz="0" w:space="0" w:color="auto" w:frame="1"/>
          <w:shd w:val="clear" w:color="auto" w:fill="FFFFFF"/>
        </w:rPr>
        <w:t>Statement of Grant Purpose</w:t>
      </w:r>
      <w:r w:rsidRPr="00E64DCD">
        <w:rPr>
          <w:rStyle w:val="apple-converted-space"/>
          <w:rFonts w:asciiTheme="minorHAnsi" w:hAnsiTheme="minorHAnsi" w:cs="Arial"/>
          <w:shd w:val="clear" w:color="auto" w:fill="FFFFFF"/>
        </w:rPr>
        <w:t> </w:t>
      </w:r>
      <w:r w:rsidRPr="00E64DCD">
        <w:rPr>
          <w:rFonts w:asciiTheme="minorHAnsi" w:hAnsiTheme="minorHAnsi" w:cs="Arial"/>
          <w:shd w:val="clear" w:color="auto" w:fill="FFFFFF"/>
        </w:rPr>
        <w:t xml:space="preserve">defining activities to take place during one academic year in a participating country outside the U.S. </w:t>
      </w:r>
      <w:r w:rsidR="00AB37FE" w:rsidRPr="00E64DCD">
        <w:rPr>
          <w:rFonts w:asciiTheme="minorHAnsi" w:hAnsiTheme="minorHAnsi" w:cs="Arial"/>
          <w:shd w:val="clear" w:color="auto" w:fill="FFFFFF"/>
        </w:rPr>
        <w:t xml:space="preserve">Applications </w:t>
      </w:r>
      <w:proofErr w:type="gramStart"/>
      <w:r w:rsidR="00AB37FE" w:rsidRPr="00E64DCD">
        <w:rPr>
          <w:rFonts w:asciiTheme="minorHAnsi" w:hAnsiTheme="minorHAnsi" w:cs="Arial"/>
          <w:shd w:val="clear" w:color="auto" w:fill="FFFFFF"/>
        </w:rPr>
        <w:t>are</w:t>
      </w:r>
      <w:proofErr w:type="gramEnd"/>
      <w:r w:rsidR="00AB37FE" w:rsidRPr="00E64DCD">
        <w:rPr>
          <w:rFonts w:asciiTheme="minorHAnsi" w:hAnsiTheme="minorHAnsi" w:cs="Arial"/>
          <w:shd w:val="clear" w:color="auto" w:fill="FFFFFF"/>
        </w:rPr>
        <w:t xml:space="preserve"> due October 14</w:t>
      </w:r>
      <w:r w:rsidRPr="00E64DCD">
        <w:rPr>
          <w:rFonts w:asciiTheme="minorHAnsi" w:hAnsiTheme="minorHAnsi" w:cs="Arial"/>
          <w:shd w:val="clear" w:color="auto" w:fill="FFFFFF"/>
        </w:rPr>
        <w:t>, 201</w:t>
      </w:r>
      <w:r w:rsidR="00AB37FE" w:rsidRPr="00E64DCD">
        <w:rPr>
          <w:rFonts w:asciiTheme="minorHAnsi" w:hAnsiTheme="minorHAnsi" w:cs="Arial"/>
          <w:shd w:val="clear" w:color="auto" w:fill="FFFFFF"/>
        </w:rPr>
        <w:t>4</w:t>
      </w:r>
      <w:r w:rsidRPr="00E64DCD">
        <w:rPr>
          <w:rFonts w:asciiTheme="minorHAnsi" w:hAnsiTheme="minorHAnsi" w:cs="Arial"/>
          <w:shd w:val="clear" w:color="auto" w:fill="FFFFFF"/>
        </w:rPr>
        <w:t xml:space="preserve">. Applicants should apply through their institution. For more information, visit </w:t>
      </w:r>
      <w:hyperlink r:id="rId32" w:history="1">
        <w:r w:rsidRPr="00E64DCD">
          <w:rPr>
            <w:rStyle w:val="Hyperlink"/>
            <w:rFonts w:asciiTheme="minorHAnsi" w:hAnsiTheme="minorHAnsi"/>
          </w:rPr>
          <w:t>http://us.fulbrightonline.org/about/fulbright-us-student-program</w:t>
        </w:r>
      </w:hyperlink>
      <w:r w:rsidRPr="00E64DCD">
        <w:rPr>
          <w:rFonts w:asciiTheme="minorHAnsi" w:hAnsiTheme="minorHAnsi"/>
        </w:rPr>
        <w:t>.</w:t>
      </w:r>
    </w:p>
    <w:p w:rsidR="00A93BF5" w:rsidRPr="00E64DCD" w:rsidRDefault="00A93BF5" w:rsidP="00A93BF5">
      <w:pPr>
        <w:pBdr>
          <w:bottom w:val="single" w:sz="6" w:space="1" w:color="auto"/>
        </w:pBdr>
        <w:autoSpaceDE w:val="0"/>
        <w:autoSpaceDN w:val="0"/>
        <w:adjustRightInd w:val="0"/>
        <w:rPr>
          <w:rFonts w:asciiTheme="minorHAnsi" w:hAnsiTheme="minorHAnsi"/>
          <w:sz w:val="20"/>
          <w:szCs w:val="20"/>
          <w:u w:val="single"/>
        </w:rPr>
      </w:pPr>
    </w:p>
    <w:p w:rsidR="00A93BF5" w:rsidRPr="00E64DCD" w:rsidRDefault="00A93BF5" w:rsidP="00A93BF5">
      <w:pPr>
        <w:rPr>
          <w:rFonts w:asciiTheme="minorHAnsi" w:hAnsiTheme="minorHAnsi"/>
          <w:sz w:val="20"/>
          <w:szCs w:val="20"/>
          <w:u w:val="single"/>
        </w:rPr>
      </w:pPr>
    </w:p>
    <w:p w:rsidR="00A93BF5" w:rsidRPr="00E64DCD" w:rsidRDefault="00A93BF5" w:rsidP="00A93BF5">
      <w:pPr>
        <w:rPr>
          <w:rFonts w:asciiTheme="minorHAnsi" w:hAnsiTheme="minorHAnsi"/>
          <w:b/>
          <w:sz w:val="28"/>
          <w:szCs w:val="28"/>
          <w:u w:val="single"/>
        </w:rPr>
      </w:pPr>
      <w:bookmarkStart w:id="7" w:name="phy"/>
      <w:r w:rsidRPr="00E64DCD">
        <w:rPr>
          <w:rFonts w:asciiTheme="minorHAnsi" w:hAnsiTheme="minorHAnsi"/>
          <w:b/>
          <w:sz w:val="28"/>
          <w:szCs w:val="28"/>
          <w:u w:val="single"/>
        </w:rPr>
        <w:t>Physical Sciences and Math</w:t>
      </w:r>
    </w:p>
    <w:bookmarkEnd w:id="7"/>
    <w:p w:rsidR="007C72D3" w:rsidRPr="00E64DCD" w:rsidRDefault="007C72D3" w:rsidP="007C72D3">
      <w:pPr>
        <w:pStyle w:val="NormalWeb"/>
        <w:spacing w:before="0" w:after="0" w:line="240" w:lineRule="auto"/>
        <w:rPr>
          <w:rFonts w:asciiTheme="minorHAnsi" w:eastAsia="Calibri" w:hAnsiTheme="minorHAnsi"/>
          <w:color w:val="auto"/>
          <w:sz w:val="20"/>
          <w:szCs w:val="20"/>
        </w:rPr>
      </w:pPr>
    </w:p>
    <w:p w:rsidR="007C72D3" w:rsidRPr="00E64DCD" w:rsidRDefault="007C72D3" w:rsidP="007C72D3">
      <w:pPr>
        <w:pStyle w:val="NormalWeb"/>
        <w:spacing w:before="0" w:after="0" w:line="240" w:lineRule="auto"/>
        <w:rPr>
          <w:rFonts w:asciiTheme="minorHAnsi" w:hAnsiTheme="minorHAnsi"/>
        </w:rPr>
      </w:pPr>
      <w:r w:rsidRPr="00E64DCD">
        <w:rPr>
          <w:rFonts w:asciiTheme="minorHAnsi" w:hAnsiTheme="minorHAnsi"/>
          <w:b/>
          <w:sz w:val="22"/>
          <w:szCs w:val="22"/>
        </w:rPr>
        <w:t xml:space="preserve">NSF Scholarships in Science, Technology, Engineering, and Mathematics (S-STEM); National Science Foundation (NSF): </w:t>
      </w:r>
      <w:r w:rsidRPr="00E64DCD">
        <w:rPr>
          <w:rFonts w:asciiTheme="minorHAnsi" w:eastAsiaTheme="minorHAnsi" w:hAnsiTheme="minorHAnsi" w:cstheme="minorBidi"/>
          <w:color w:val="000000"/>
          <w:sz w:val="22"/>
          <w:szCs w:val="22"/>
          <w:shd w:val="clear" w:color="auto" w:fill="FFFFFF"/>
        </w:rPr>
        <w:t xml:space="preserve">supports scholarships for academically talented students demonstrating financial need, enabling them to enter the STEM workforce or STEM graduate school following completion of an associate, baccalaureate, or graduate-level degree in science, technology, engineering or mathematics disciplines. Grantee institutions are responsible for selecting scholarship recipients, reporting demographic information about student scholars, and managing the S-STEM project at the institution. The program does not make scholarship awards directly to students; students should contact their institution’s Office of Financial Aid for this and other scholarship opportunities. Proposals are due August 12, 2014. For more information, visit </w:t>
      </w:r>
      <w:hyperlink r:id="rId33" w:history="1">
        <w:r w:rsidRPr="00E64DCD">
          <w:rPr>
            <w:rStyle w:val="Hyperlink"/>
            <w:rFonts w:asciiTheme="minorHAnsi" w:eastAsiaTheme="minorHAnsi" w:hAnsiTheme="minorHAnsi" w:cstheme="minorBidi"/>
            <w:sz w:val="22"/>
            <w:szCs w:val="22"/>
            <w:shd w:val="clear" w:color="auto" w:fill="FFFFFF"/>
          </w:rPr>
          <w:t>NSF.gov</w:t>
        </w:r>
      </w:hyperlink>
      <w:hyperlink r:id="rId34" w:history="1">
        <w:r w:rsidRPr="00E64DCD">
          <w:rPr>
            <w:rStyle w:val="Hyperlink"/>
            <w:rFonts w:asciiTheme="minorHAnsi" w:eastAsiaTheme="minorHAnsi" w:hAnsiTheme="minorHAnsi" w:cstheme="minorBidi"/>
            <w:sz w:val="22"/>
            <w:szCs w:val="22"/>
            <w:shd w:val="clear" w:color="auto" w:fill="FFFFFF"/>
          </w:rPr>
          <w:t xml:space="preserve"> Solicitation</w:t>
        </w:r>
      </w:hyperlink>
      <w:r w:rsidRPr="00E64DCD">
        <w:rPr>
          <w:rFonts w:asciiTheme="minorHAnsi" w:eastAsiaTheme="minorHAnsi" w:hAnsiTheme="minorHAnsi" w:cstheme="minorBidi"/>
          <w:color w:val="000000"/>
          <w:sz w:val="22"/>
          <w:szCs w:val="22"/>
          <w:shd w:val="clear" w:color="auto" w:fill="FFFFFF"/>
        </w:rPr>
        <w:t xml:space="preserve"> </w:t>
      </w:r>
    </w:p>
    <w:p w:rsidR="007C72D3" w:rsidRPr="00E64DCD" w:rsidRDefault="007C72D3" w:rsidP="00A93BF5">
      <w:pPr>
        <w:pStyle w:val="PlainText"/>
        <w:pBdr>
          <w:bottom w:val="single" w:sz="6" w:space="1" w:color="auto"/>
        </w:pBdr>
        <w:rPr>
          <w:rFonts w:asciiTheme="minorHAnsi" w:hAnsiTheme="minorHAnsi"/>
          <w:sz w:val="20"/>
          <w:szCs w:val="20"/>
        </w:rPr>
      </w:pPr>
    </w:p>
    <w:p w:rsidR="00A93BF5" w:rsidRPr="00E64DCD" w:rsidRDefault="00A93BF5" w:rsidP="00A93BF5">
      <w:pPr>
        <w:rPr>
          <w:rFonts w:asciiTheme="minorHAnsi" w:hAnsiTheme="minorHAnsi"/>
          <w:b/>
          <w:sz w:val="20"/>
          <w:szCs w:val="20"/>
          <w:u w:val="single"/>
        </w:rPr>
      </w:pPr>
    </w:p>
    <w:p w:rsidR="007C73E2" w:rsidRPr="00E64DCD" w:rsidRDefault="007C73E2" w:rsidP="007C73E2">
      <w:pPr>
        <w:pStyle w:val="NormalWeb"/>
        <w:pBdr>
          <w:bottom w:val="single" w:sz="6" w:space="1" w:color="auto"/>
        </w:pBdr>
        <w:spacing w:before="0" w:after="0" w:line="240" w:lineRule="auto"/>
        <w:rPr>
          <w:rStyle w:val="Hyperlink"/>
          <w:rFonts w:asciiTheme="minorHAnsi" w:eastAsiaTheme="minorHAnsi" w:hAnsiTheme="minorHAnsi" w:cstheme="minorBidi"/>
          <w:sz w:val="22"/>
          <w:szCs w:val="22"/>
          <w:shd w:val="clear" w:color="auto" w:fill="FFFFFF"/>
        </w:rPr>
      </w:pPr>
      <w:r w:rsidRPr="00E64DCD">
        <w:rPr>
          <w:rFonts w:asciiTheme="minorHAnsi" w:eastAsiaTheme="minorHAnsi" w:hAnsiTheme="minorHAnsi" w:cstheme="minorBidi"/>
          <w:b/>
          <w:color w:val="000000"/>
          <w:sz w:val="22"/>
          <w:szCs w:val="22"/>
          <w:shd w:val="clear" w:color="auto" w:fill="FFFFFF"/>
        </w:rPr>
        <w:t xml:space="preserve">Statistical and Research Methodology in Education; U.S. Department of Education: </w:t>
      </w:r>
      <w:r w:rsidRPr="00E64DCD">
        <w:rPr>
          <w:rFonts w:asciiTheme="minorHAnsi" w:eastAsiaTheme="minorHAnsi" w:hAnsiTheme="minorHAnsi" w:cstheme="minorBidi"/>
          <w:color w:val="000000"/>
          <w:sz w:val="22"/>
          <w:szCs w:val="22"/>
          <w:shd w:val="clear" w:color="auto" w:fill="FFFFFF"/>
        </w:rPr>
        <w:t xml:space="preserve">supports research to advance education research methodologies and statistical analyses. The long-term outcome of this research program will be a wide-range of methodological and statistical tools that will enable education scientists to conduct rigorous education research. In FY 15, there are two categories: regular grants which are similar to projects that have been funded under previous competitions and Early Career grants. LOIs strongly encouraged by June 5, 2014. For more information, visit </w:t>
      </w:r>
      <w:hyperlink r:id="rId35" w:history="1">
        <w:r w:rsidRPr="00E64DCD">
          <w:rPr>
            <w:rStyle w:val="Hyperlink"/>
            <w:rFonts w:asciiTheme="minorHAnsi" w:eastAsiaTheme="minorHAnsi" w:hAnsiTheme="minorHAnsi" w:cstheme="minorBidi"/>
            <w:sz w:val="22"/>
            <w:szCs w:val="22"/>
            <w:shd w:val="clear" w:color="auto" w:fill="FFFFFF"/>
          </w:rPr>
          <w:t>IES.ED.gov</w:t>
        </w:r>
      </w:hyperlink>
    </w:p>
    <w:p w:rsidR="00812BE9" w:rsidRPr="00E64DCD" w:rsidRDefault="00812BE9" w:rsidP="007C73E2">
      <w:pPr>
        <w:pStyle w:val="NormalWeb"/>
        <w:pBdr>
          <w:bottom w:val="single" w:sz="6" w:space="1" w:color="auto"/>
          <w:between w:val="single" w:sz="6" w:space="1" w:color="auto"/>
        </w:pBdr>
        <w:spacing w:before="0" w:after="0" w:line="240" w:lineRule="auto"/>
        <w:rPr>
          <w:rStyle w:val="Hyperlink"/>
          <w:rFonts w:asciiTheme="minorHAnsi" w:eastAsiaTheme="minorHAnsi" w:hAnsiTheme="minorHAnsi" w:cstheme="minorBidi"/>
          <w:sz w:val="22"/>
          <w:szCs w:val="22"/>
          <w:shd w:val="clear" w:color="auto" w:fill="FFFFFF"/>
        </w:rPr>
      </w:pPr>
    </w:p>
    <w:p w:rsidR="00812BE9" w:rsidRPr="00E64DCD" w:rsidRDefault="00812BE9" w:rsidP="007C73E2">
      <w:pPr>
        <w:pStyle w:val="NormalWeb"/>
        <w:pBdr>
          <w:bottom w:val="single" w:sz="6" w:space="1" w:color="auto"/>
        </w:pBdr>
        <w:spacing w:before="0" w:after="0" w:line="240" w:lineRule="auto"/>
        <w:rPr>
          <w:rStyle w:val="Hyperlink"/>
          <w:rFonts w:asciiTheme="minorHAnsi" w:eastAsiaTheme="minorHAnsi" w:hAnsiTheme="minorHAnsi" w:cstheme="minorBidi"/>
          <w:sz w:val="22"/>
          <w:szCs w:val="22"/>
          <w:shd w:val="clear" w:color="auto" w:fill="FFFFFF"/>
        </w:rPr>
      </w:pPr>
    </w:p>
    <w:p w:rsidR="00A93BF5" w:rsidRPr="00E64DCD" w:rsidRDefault="00BE63A9" w:rsidP="0076237B">
      <w:pPr>
        <w:pStyle w:val="NormalWeb"/>
        <w:pBdr>
          <w:bottom w:val="single" w:sz="6" w:space="1" w:color="auto"/>
        </w:pBdr>
        <w:spacing w:before="0" w:after="0" w:line="240" w:lineRule="auto"/>
        <w:rPr>
          <w:rFonts w:asciiTheme="minorHAnsi" w:eastAsiaTheme="minorHAnsi" w:hAnsiTheme="minorHAnsi" w:cstheme="minorBidi"/>
          <w:color w:val="000000"/>
          <w:sz w:val="22"/>
          <w:szCs w:val="22"/>
          <w:shd w:val="clear" w:color="auto" w:fill="FFFFFF"/>
        </w:rPr>
      </w:pPr>
      <w:r w:rsidRPr="00E64DCD">
        <w:rPr>
          <w:rFonts w:asciiTheme="minorHAnsi" w:hAnsiTheme="minorHAnsi"/>
          <w:b/>
          <w:sz w:val="22"/>
          <w:szCs w:val="22"/>
        </w:rPr>
        <w:t xml:space="preserve">Collections in </w:t>
      </w:r>
      <w:r w:rsidRPr="00E64DCD">
        <w:rPr>
          <w:rFonts w:asciiTheme="minorHAnsi" w:hAnsiTheme="minorHAnsi"/>
          <w:b/>
          <w:sz w:val="22"/>
          <w:szCs w:val="22"/>
        </w:rPr>
        <w:t xml:space="preserve">Support of Biological Research; </w:t>
      </w:r>
      <w:r w:rsidRPr="00E64DCD">
        <w:rPr>
          <w:rFonts w:asciiTheme="minorHAnsi" w:hAnsiTheme="minorHAnsi"/>
          <w:b/>
          <w:sz w:val="22"/>
          <w:szCs w:val="22"/>
        </w:rPr>
        <w:t>National Science Foundation (NSF)</w:t>
      </w:r>
      <w:r w:rsidRPr="00E64DCD">
        <w:rPr>
          <w:rFonts w:asciiTheme="minorHAnsi" w:hAnsiTheme="minorHAnsi"/>
          <w:b/>
          <w:sz w:val="22"/>
          <w:szCs w:val="22"/>
        </w:rPr>
        <w:t>:</w:t>
      </w:r>
      <w:r w:rsidRPr="00E64DCD">
        <w:rPr>
          <w:rFonts w:asciiTheme="minorHAnsi" w:hAnsiTheme="minorHAnsi"/>
          <w:sz w:val="22"/>
          <w:szCs w:val="22"/>
        </w:rPr>
        <w:t xml:space="preserve"> seeks</w:t>
      </w:r>
      <w:r w:rsidRPr="00E64DCD">
        <w:rPr>
          <w:rFonts w:asciiTheme="minorHAnsi" w:hAnsiTheme="minorHAnsi"/>
          <w:sz w:val="22"/>
          <w:szCs w:val="22"/>
        </w:rPr>
        <w:t xml:space="preserve"> proposals to enhance, secure, and improve existing collections, resulting in accessible digitized specimen-related data, and the development of better methods for specimen </w:t>
      </w:r>
      <w:proofErr w:type="spellStart"/>
      <w:r w:rsidRPr="00E64DCD">
        <w:rPr>
          <w:rFonts w:asciiTheme="minorHAnsi" w:hAnsiTheme="minorHAnsi"/>
          <w:sz w:val="22"/>
          <w:szCs w:val="22"/>
        </w:rPr>
        <w:t>curat</w:t>
      </w:r>
      <w:r w:rsidRPr="00E64DCD">
        <w:rPr>
          <w:rFonts w:asciiTheme="minorHAnsi" w:hAnsiTheme="minorHAnsi"/>
          <w:sz w:val="22"/>
          <w:szCs w:val="22"/>
        </w:rPr>
        <w:t>ion</w:t>
      </w:r>
      <w:proofErr w:type="spellEnd"/>
      <w:r w:rsidRPr="00E64DCD">
        <w:rPr>
          <w:rFonts w:asciiTheme="minorHAnsi" w:hAnsiTheme="minorHAnsi"/>
          <w:sz w:val="22"/>
          <w:szCs w:val="22"/>
        </w:rPr>
        <w:t xml:space="preserve"> and collection management. </w:t>
      </w:r>
      <w:r w:rsidRPr="00E64DCD">
        <w:rPr>
          <w:rFonts w:asciiTheme="minorHAnsi" w:hAnsiTheme="minorHAnsi"/>
          <w:sz w:val="22"/>
          <w:szCs w:val="22"/>
        </w:rPr>
        <w:t xml:space="preserve">Proposals are due August 11, 2014. </w:t>
      </w:r>
      <w:r w:rsidRPr="00E64DCD">
        <w:rPr>
          <w:rFonts w:asciiTheme="minorHAnsi" w:hAnsiTheme="minorHAnsi"/>
          <w:sz w:val="22"/>
          <w:szCs w:val="22"/>
        </w:rPr>
        <w:t xml:space="preserve">For more information, visit </w:t>
      </w:r>
      <w:hyperlink r:id="rId36" w:history="1">
        <w:r w:rsidRPr="00E64DCD">
          <w:rPr>
            <w:rStyle w:val="Hyperlink"/>
            <w:rFonts w:asciiTheme="minorHAnsi" w:hAnsiTheme="minorHAnsi"/>
            <w:sz w:val="22"/>
            <w:szCs w:val="22"/>
          </w:rPr>
          <w:t>Solicitation</w:t>
        </w:r>
      </w:hyperlink>
      <w:r w:rsidRPr="00E64DCD">
        <w:rPr>
          <w:rFonts w:asciiTheme="minorHAnsi" w:hAnsiTheme="minorHAnsi"/>
          <w:sz w:val="22"/>
          <w:szCs w:val="22"/>
        </w:rPr>
        <w:t xml:space="preserve">, </w:t>
      </w:r>
      <w:hyperlink r:id="rId37" w:history="1">
        <w:r w:rsidRPr="00E64DCD">
          <w:rPr>
            <w:rStyle w:val="Hyperlink"/>
            <w:rFonts w:asciiTheme="minorHAnsi" w:hAnsiTheme="minorHAnsi"/>
            <w:sz w:val="22"/>
            <w:szCs w:val="22"/>
          </w:rPr>
          <w:t>Grants.gov</w:t>
        </w:r>
      </w:hyperlink>
      <w:r w:rsidRPr="00E64DCD">
        <w:rPr>
          <w:rFonts w:asciiTheme="minorHAnsi" w:hAnsiTheme="minorHAnsi"/>
          <w:sz w:val="22"/>
          <w:szCs w:val="22"/>
        </w:rPr>
        <w:br/>
      </w:r>
    </w:p>
    <w:p w:rsidR="00A93BF5" w:rsidRPr="00E64DCD" w:rsidRDefault="00A93BF5" w:rsidP="00A93BF5">
      <w:pPr>
        <w:pStyle w:val="PlainText"/>
        <w:rPr>
          <w:rFonts w:asciiTheme="minorHAnsi" w:hAnsiTheme="minorHAnsi"/>
          <w:sz w:val="20"/>
          <w:szCs w:val="20"/>
        </w:rPr>
      </w:pPr>
    </w:p>
    <w:p w:rsidR="00A93BF5" w:rsidRPr="00E64DCD" w:rsidRDefault="00A93BF5" w:rsidP="00A93BF5">
      <w:pPr>
        <w:rPr>
          <w:rFonts w:asciiTheme="minorHAnsi" w:hAnsiTheme="minorHAnsi"/>
          <w:b/>
          <w:sz w:val="28"/>
          <w:szCs w:val="28"/>
          <w:u w:val="single"/>
        </w:rPr>
      </w:pPr>
      <w:bookmarkStart w:id="8" w:name="stu"/>
      <w:r w:rsidRPr="00E64DCD">
        <w:rPr>
          <w:rFonts w:asciiTheme="minorHAnsi" w:hAnsiTheme="minorHAnsi"/>
          <w:b/>
          <w:sz w:val="28"/>
          <w:szCs w:val="28"/>
          <w:u w:val="single"/>
        </w:rPr>
        <w:t>Student Development</w:t>
      </w:r>
    </w:p>
    <w:bookmarkEnd w:id="8"/>
    <w:p w:rsidR="0076237B" w:rsidRPr="00E64DCD" w:rsidRDefault="0076237B" w:rsidP="00A93BF5">
      <w:pPr>
        <w:pStyle w:val="PlainText"/>
        <w:pBdr>
          <w:bottom w:val="single" w:sz="6" w:space="1" w:color="auto"/>
        </w:pBdr>
        <w:rPr>
          <w:rFonts w:asciiTheme="minorHAnsi" w:hAnsiTheme="minorHAnsi" w:cs="Times New Roman"/>
          <w:sz w:val="20"/>
          <w:szCs w:val="20"/>
        </w:rPr>
      </w:pPr>
    </w:p>
    <w:p w:rsidR="00BC59B0" w:rsidRPr="00E64DCD" w:rsidRDefault="0085250B" w:rsidP="00A93BF5">
      <w:pPr>
        <w:pStyle w:val="PlainText"/>
        <w:pBdr>
          <w:bottom w:val="single" w:sz="6" w:space="1" w:color="auto"/>
        </w:pBdr>
        <w:rPr>
          <w:rFonts w:asciiTheme="minorHAnsi" w:hAnsiTheme="minorHAnsi" w:cs="Times New Roman"/>
          <w:sz w:val="22"/>
          <w:szCs w:val="20"/>
        </w:rPr>
      </w:pPr>
      <w:r w:rsidRPr="00E64DCD">
        <w:rPr>
          <w:rFonts w:asciiTheme="minorHAnsi" w:hAnsiTheme="minorHAnsi" w:cs="Times New Roman"/>
          <w:b/>
          <w:sz w:val="22"/>
          <w:szCs w:val="20"/>
        </w:rPr>
        <w:t xml:space="preserve">First in the World; </w:t>
      </w:r>
      <w:r w:rsidR="00BC59B0" w:rsidRPr="00E64DCD">
        <w:rPr>
          <w:rFonts w:asciiTheme="minorHAnsi" w:hAnsiTheme="minorHAnsi" w:cs="Times New Roman"/>
          <w:b/>
          <w:sz w:val="22"/>
          <w:szCs w:val="20"/>
        </w:rPr>
        <w:t xml:space="preserve">United States Department of Education: </w:t>
      </w:r>
      <w:r w:rsidR="00BC59B0" w:rsidRPr="00E64DCD">
        <w:rPr>
          <w:rFonts w:asciiTheme="minorHAnsi" w:eastAsiaTheme="minorHAnsi" w:hAnsiTheme="minorHAnsi" w:cstheme="minorBidi"/>
          <w:color w:val="000000"/>
          <w:sz w:val="22"/>
          <w:szCs w:val="22"/>
          <w:shd w:val="clear" w:color="auto" w:fill="FFFFFF"/>
        </w:rPr>
        <w:t>supports</w:t>
      </w:r>
      <w:r w:rsidRPr="00E64DCD">
        <w:rPr>
          <w:rFonts w:asciiTheme="minorHAnsi" w:eastAsiaTheme="minorHAnsi" w:hAnsiTheme="minorHAnsi" w:cstheme="minorBidi"/>
          <w:color w:val="000000"/>
          <w:sz w:val="22"/>
          <w:szCs w:val="22"/>
          <w:shd w:val="clear" w:color="auto" w:fill="FFFFFF"/>
        </w:rPr>
        <w:t xml:space="preserve"> proposals that</w:t>
      </w:r>
      <w:r w:rsidR="00BC59B0" w:rsidRPr="00E64DCD">
        <w:rPr>
          <w:rFonts w:asciiTheme="minorHAnsi" w:eastAsiaTheme="minorHAnsi" w:hAnsiTheme="minorHAnsi" w:cstheme="minorBidi"/>
          <w:color w:val="000000"/>
          <w:sz w:val="22"/>
          <w:szCs w:val="22"/>
          <w:shd w:val="clear" w:color="auto" w:fill="FFFFFF"/>
        </w:rPr>
        <w:t xml:space="preserve"> </w:t>
      </w:r>
      <w:r w:rsidRPr="00E64DCD">
        <w:rPr>
          <w:rFonts w:asciiTheme="minorHAnsi" w:eastAsiaTheme="minorHAnsi" w:hAnsiTheme="minorHAnsi" w:cstheme="minorBidi"/>
          <w:color w:val="000000"/>
          <w:sz w:val="22"/>
          <w:szCs w:val="22"/>
          <w:shd w:val="clear" w:color="auto" w:fill="FFFFFF"/>
        </w:rPr>
        <w:t xml:space="preserve">spur the development of innovations that improve educational outcomes and make college more affordable for students and families, and to develop an evidence base of effective practices. </w:t>
      </w:r>
      <w:r w:rsidR="00BC59B0" w:rsidRPr="00E64DCD">
        <w:rPr>
          <w:rFonts w:asciiTheme="minorHAnsi" w:eastAsiaTheme="minorHAnsi" w:hAnsiTheme="minorHAnsi" w:cstheme="minorBidi"/>
          <w:color w:val="000000"/>
          <w:sz w:val="22"/>
          <w:szCs w:val="22"/>
          <w:shd w:val="clear" w:color="auto" w:fill="FFFFFF"/>
        </w:rPr>
        <w:t xml:space="preserve">Proposals are due June 30, 2014. For more information, visit </w:t>
      </w:r>
      <w:hyperlink r:id="rId38" w:history="1">
        <w:r w:rsidR="00BC59B0" w:rsidRPr="00E64DCD">
          <w:rPr>
            <w:rStyle w:val="Hyperlink"/>
            <w:rFonts w:asciiTheme="minorHAnsi" w:eastAsiaTheme="minorHAnsi" w:hAnsiTheme="minorHAnsi" w:cstheme="minorBidi"/>
            <w:sz w:val="22"/>
            <w:szCs w:val="22"/>
            <w:shd w:val="clear" w:color="auto" w:fill="FFFFFF"/>
          </w:rPr>
          <w:t>Ed.gov</w:t>
        </w:r>
      </w:hyperlink>
    </w:p>
    <w:p w:rsidR="00A93BF5" w:rsidRDefault="00A93BF5" w:rsidP="00A93BF5">
      <w:pPr>
        <w:pStyle w:val="PlainText"/>
        <w:pBdr>
          <w:bottom w:val="single" w:sz="6" w:space="1" w:color="auto"/>
        </w:pBdr>
        <w:rPr>
          <w:rFonts w:asciiTheme="minorHAnsi" w:hAnsiTheme="minorHAnsi"/>
        </w:rPr>
      </w:pPr>
    </w:p>
    <w:p w:rsidR="00A93BF5" w:rsidRDefault="00A93BF5" w:rsidP="00A93BF5">
      <w:pPr>
        <w:pStyle w:val="PlainText"/>
        <w:rPr>
          <w:rFonts w:asciiTheme="minorHAnsi" w:hAnsiTheme="minorHAnsi"/>
        </w:rPr>
      </w:pPr>
    </w:p>
    <w:p w:rsidR="00A93BF5" w:rsidRDefault="00A93BF5" w:rsidP="00A93BF5"/>
    <w:p w:rsidR="00D94779" w:rsidRDefault="00D94779"/>
    <w:sectPr w:rsidR="00D94779" w:rsidSect="00D94779">
      <w:pgSz w:w="12240" w:h="15840"/>
      <w:pgMar w:top="230" w:right="1440" w:bottom="2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BF"/>
    <w:rsid w:val="00043D76"/>
    <w:rsid w:val="00045B0A"/>
    <w:rsid w:val="00046F50"/>
    <w:rsid w:val="00092B52"/>
    <w:rsid w:val="000A16D5"/>
    <w:rsid w:val="000B681D"/>
    <w:rsid w:val="000C332E"/>
    <w:rsid w:val="000C5608"/>
    <w:rsid w:val="000E1BB8"/>
    <w:rsid w:val="000E4D89"/>
    <w:rsid w:val="0012574C"/>
    <w:rsid w:val="00131CD8"/>
    <w:rsid w:val="00153B18"/>
    <w:rsid w:val="0015791C"/>
    <w:rsid w:val="001755A8"/>
    <w:rsid w:val="001E276B"/>
    <w:rsid w:val="00243215"/>
    <w:rsid w:val="002719E0"/>
    <w:rsid w:val="002921F2"/>
    <w:rsid w:val="002B2297"/>
    <w:rsid w:val="002C5411"/>
    <w:rsid w:val="002D643B"/>
    <w:rsid w:val="002F5AF8"/>
    <w:rsid w:val="00310788"/>
    <w:rsid w:val="00325C19"/>
    <w:rsid w:val="0033771D"/>
    <w:rsid w:val="00343C66"/>
    <w:rsid w:val="00347E61"/>
    <w:rsid w:val="00356441"/>
    <w:rsid w:val="00377E0B"/>
    <w:rsid w:val="00380420"/>
    <w:rsid w:val="0038137B"/>
    <w:rsid w:val="003A3C17"/>
    <w:rsid w:val="003B3710"/>
    <w:rsid w:val="003C56D3"/>
    <w:rsid w:val="003D3FA0"/>
    <w:rsid w:val="003D6E5B"/>
    <w:rsid w:val="004448BC"/>
    <w:rsid w:val="00452090"/>
    <w:rsid w:val="00473D16"/>
    <w:rsid w:val="004769DA"/>
    <w:rsid w:val="00495D80"/>
    <w:rsid w:val="004C58A8"/>
    <w:rsid w:val="005017B9"/>
    <w:rsid w:val="005206A0"/>
    <w:rsid w:val="0053075E"/>
    <w:rsid w:val="00537268"/>
    <w:rsid w:val="005412AE"/>
    <w:rsid w:val="0054634C"/>
    <w:rsid w:val="00556847"/>
    <w:rsid w:val="005634B4"/>
    <w:rsid w:val="00564DBC"/>
    <w:rsid w:val="00581BA4"/>
    <w:rsid w:val="005A0547"/>
    <w:rsid w:val="005B50A3"/>
    <w:rsid w:val="005D4B2E"/>
    <w:rsid w:val="005D5B0F"/>
    <w:rsid w:val="00624328"/>
    <w:rsid w:val="0063723B"/>
    <w:rsid w:val="00665D41"/>
    <w:rsid w:val="00686B2F"/>
    <w:rsid w:val="006925FF"/>
    <w:rsid w:val="00696118"/>
    <w:rsid w:val="006C597A"/>
    <w:rsid w:val="006E2AAA"/>
    <w:rsid w:val="00712AEF"/>
    <w:rsid w:val="00722FF3"/>
    <w:rsid w:val="00727749"/>
    <w:rsid w:val="00733ABB"/>
    <w:rsid w:val="0076237B"/>
    <w:rsid w:val="00764124"/>
    <w:rsid w:val="0077287C"/>
    <w:rsid w:val="00777FE3"/>
    <w:rsid w:val="00782340"/>
    <w:rsid w:val="00784959"/>
    <w:rsid w:val="007928BD"/>
    <w:rsid w:val="007B2A54"/>
    <w:rsid w:val="007C3044"/>
    <w:rsid w:val="007C6C38"/>
    <w:rsid w:val="007C72D3"/>
    <w:rsid w:val="007C73E2"/>
    <w:rsid w:val="007F1760"/>
    <w:rsid w:val="007F2795"/>
    <w:rsid w:val="007F6512"/>
    <w:rsid w:val="007F6E3B"/>
    <w:rsid w:val="00812BE9"/>
    <w:rsid w:val="00835B36"/>
    <w:rsid w:val="008457C0"/>
    <w:rsid w:val="0085250B"/>
    <w:rsid w:val="0087225B"/>
    <w:rsid w:val="00876AA8"/>
    <w:rsid w:val="00885AEE"/>
    <w:rsid w:val="00892975"/>
    <w:rsid w:val="008A0830"/>
    <w:rsid w:val="008A6123"/>
    <w:rsid w:val="008D2A61"/>
    <w:rsid w:val="00901C3B"/>
    <w:rsid w:val="00904E20"/>
    <w:rsid w:val="00904F5E"/>
    <w:rsid w:val="0090502A"/>
    <w:rsid w:val="00923A02"/>
    <w:rsid w:val="00934DA4"/>
    <w:rsid w:val="00936845"/>
    <w:rsid w:val="00963503"/>
    <w:rsid w:val="009753E2"/>
    <w:rsid w:val="00975F35"/>
    <w:rsid w:val="00982B60"/>
    <w:rsid w:val="009A3BB4"/>
    <w:rsid w:val="009A7086"/>
    <w:rsid w:val="009D6B1B"/>
    <w:rsid w:val="009E65B2"/>
    <w:rsid w:val="009E797F"/>
    <w:rsid w:val="009F0B2B"/>
    <w:rsid w:val="00A70667"/>
    <w:rsid w:val="00A83CD6"/>
    <w:rsid w:val="00A86266"/>
    <w:rsid w:val="00A93BF5"/>
    <w:rsid w:val="00A949BF"/>
    <w:rsid w:val="00A95FC3"/>
    <w:rsid w:val="00AB37FE"/>
    <w:rsid w:val="00AC0EB6"/>
    <w:rsid w:val="00AC3DEF"/>
    <w:rsid w:val="00AD0948"/>
    <w:rsid w:val="00B01A3F"/>
    <w:rsid w:val="00B27287"/>
    <w:rsid w:val="00B47212"/>
    <w:rsid w:val="00B94599"/>
    <w:rsid w:val="00BA2E39"/>
    <w:rsid w:val="00BA6317"/>
    <w:rsid w:val="00BC59B0"/>
    <w:rsid w:val="00BE63A9"/>
    <w:rsid w:val="00BF231E"/>
    <w:rsid w:val="00C00FC2"/>
    <w:rsid w:val="00C104DE"/>
    <w:rsid w:val="00C14E48"/>
    <w:rsid w:val="00C22092"/>
    <w:rsid w:val="00C25E3E"/>
    <w:rsid w:val="00C30CF1"/>
    <w:rsid w:val="00C34C35"/>
    <w:rsid w:val="00C35ADD"/>
    <w:rsid w:val="00C4184E"/>
    <w:rsid w:val="00C52C53"/>
    <w:rsid w:val="00C86CBC"/>
    <w:rsid w:val="00CB40CA"/>
    <w:rsid w:val="00D006F3"/>
    <w:rsid w:val="00D064FA"/>
    <w:rsid w:val="00D13DDB"/>
    <w:rsid w:val="00D41D25"/>
    <w:rsid w:val="00D42323"/>
    <w:rsid w:val="00D575A5"/>
    <w:rsid w:val="00D61AEC"/>
    <w:rsid w:val="00D70414"/>
    <w:rsid w:val="00D80A39"/>
    <w:rsid w:val="00D8692F"/>
    <w:rsid w:val="00D94779"/>
    <w:rsid w:val="00DA0463"/>
    <w:rsid w:val="00DA53CC"/>
    <w:rsid w:val="00DA5EBF"/>
    <w:rsid w:val="00DB5CF8"/>
    <w:rsid w:val="00DB754D"/>
    <w:rsid w:val="00DE5A93"/>
    <w:rsid w:val="00DF22F2"/>
    <w:rsid w:val="00DF4082"/>
    <w:rsid w:val="00E1188E"/>
    <w:rsid w:val="00E120E7"/>
    <w:rsid w:val="00E127B9"/>
    <w:rsid w:val="00E16399"/>
    <w:rsid w:val="00E46C84"/>
    <w:rsid w:val="00E5503D"/>
    <w:rsid w:val="00E64DCD"/>
    <w:rsid w:val="00E65998"/>
    <w:rsid w:val="00EC19B3"/>
    <w:rsid w:val="00EC2EA7"/>
    <w:rsid w:val="00ED0277"/>
    <w:rsid w:val="00EF053B"/>
    <w:rsid w:val="00F124A1"/>
    <w:rsid w:val="00F62A99"/>
    <w:rsid w:val="00F710D2"/>
    <w:rsid w:val="00F815D4"/>
    <w:rsid w:val="00F85842"/>
    <w:rsid w:val="00F8688B"/>
    <w:rsid w:val="00FA63BC"/>
    <w:rsid w:val="00FB191E"/>
    <w:rsid w:val="00FB2527"/>
    <w:rsid w:val="00FD7ED6"/>
    <w:rsid w:val="00FE1670"/>
    <w:rsid w:val="00FF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4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34C"/>
    <w:rPr>
      <w:color w:val="0000FF"/>
      <w:u w:val="single"/>
    </w:rPr>
  </w:style>
  <w:style w:type="paragraph" w:styleId="BalloonText">
    <w:name w:val="Balloon Text"/>
    <w:basedOn w:val="Normal"/>
    <w:link w:val="BalloonTextChar"/>
    <w:uiPriority w:val="99"/>
    <w:semiHidden/>
    <w:unhideWhenUsed/>
    <w:rsid w:val="0054634C"/>
    <w:rPr>
      <w:rFonts w:ascii="Tahoma" w:hAnsi="Tahoma" w:cs="Tahoma"/>
      <w:sz w:val="16"/>
      <w:szCs w:val="16"/>
    </w:rPr>
  </w:style>
  <w:style w:type="character" w:customStyle="1" w:styleId="BalloonTextChar">
    <w:name w:val="Balloon Text Char"/>
    <w:basedOn w:val="DefaultParagraphFont"/>
    <w:link w:val="BalloonText"/>
    <w:uiPriority w:val="99"/>
    <w:semiHidden/>
    <w:rsid w:val="0054634C"/>
    <w:rPr>
      <w:rFonts w:ascii="Tahoma" w:eastAsia="Calibri" w:hAnsi="Tahoma" w:cs="Tahoma"/>
      <w:sz w:val="16"/>
      <w:szCs w:val="16"/>
    </w:rPr>
  </w:style>
  <w:style w:type="paragraph" w:styleId="NormalWeb">
    <w:name w:val="Normal (Web)"/>
    <w:basedOn w:val="Normal"/>
    <w:uiPriority w:val="99"/>
    <w:unhideWhenUsed/>
    <w:rsid w:val="00347E61"/>
    <w:pPr>
      <w:spacing w:before="75" w:after="75" w:line="312" w:lineRule="atLeast"/>
    </w:pPr>
    <w:rPr>
      <w:rFonts w:ascii="Arial" w:eastAsia="Times New Roman" w:hAnsi="Arial" w:cs="Arial"/>
      <w:color w:val="313131"/>
      <w:sz w:val="21"/>
      <w:szCs w:val="21"/>
    </w:rPr>
  </w:style>
  <w:style w:type="character" w:customStyle="1" w:styleId="apple-converted-space">
    <w:name w:val="apple-converted-space"/>
    <w:basedOn w:val="DefaultParagraphFont"/>
    <w:rsid w:val="00624328"/>
  </w:style>
  <w:style w:type="character" w:styleId="FollowedHyperlink">
    <w:name w:val="FollowedHyperlink"/>
    <w:basedOn w:val="DefaultParagraphFont"/>
    <w:uiPriority w:val="99"/>
    <w:semiHidden/>
    <w:unhideWhenUsed/>
    <w:rsid w:val="00131CD8"/>
    <w:rPr>
      <w:color w:val="800080" w:themeColor="followedHyperlink"/>
      <w:u w:val="single"/>
    </w:rPr>
  </w:style>
  <w:style w:type="paragraph" w:styleId="PlainText">
    <w:name w:val="Plain Text"/>
    <w:basedOn w:val="Normal"/>
    <w:link w:val="PlainTextChar"/>
    <w:uiPriority w:val="99"/>
    <w:unhideWhenUsed/>
    <w:rsid w:val="00A93BF5"/>
    <w:rPr>
      <w:rFonts w:ascii="Consolas" w:hAnsi="Consolas" w:cs="Arial"/>
      <w:sz w:val="21"/>
      <w:szCs w:val="21"/>
    </w:rPr>
  </w:style>
  <w:style w:type="character" w:customStyle="1" w:styleId="PlainTextChar">
    <w:name w:val="Plain Text Char"/>
    <w:basedOn w:val="DefaultParagraphFont"/>
    <w:link w:val="PlainText"/>
    <w:uiPriority w:val="99"/>
    <w:rsid w:val="00A93BF5"/>
    <w:rPr>
      <w:rFonts w:ascii="Consolas" w:eastAsia="Calibri" w:hAnsi="Consolas" w:cs="Arial"/>
      <w:sz w:val="21"/>
      <w:szCs w:val="21"/>
    </w:rPr>
  </w:style>
  <w:style w:type="character" w:styleId="Emphasis">
    <w:name w:val="Emphasis"/>
    <w:basedOn w:val="DefaultParagraphFont"/>
    <w:uiPriority w:val="20"/>
    <w:qFormat/>
    <w:rsid w:val="00E120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4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34C"/>
    <w:rPr>
      <w:color w:val="0000FF"/>
      <w:u w:val="single"/>
    </w:rPr>
  </w:style>
  <w:style w:type="paragraph" w:styleId="BalloonText">
    <w:name w:val="Balloon Text"/>
    <w:basedOn w:val="Normal"/>
    <w:link w:val="BalloonTextChar"/>
    <w:uiPriority w:val="99"/>
    <w:semiHidden/>
    <w:unhideWhenUsed/>
    <w:rsid w:val="0054634C"/>
    <w:rPr>
      <w:rFonts w:ascii="Tahoma" w:hAnsi="Tahoma" w:cs="Tahoma"/>
      <w:sz w:val="16"/>
      <w:szCs w:val="16"/>
    </w:rPr>
  </w:style>
  <w:style w:type="character" w:customStyle="1" w:styleId="BalloonTextChar">
    <w:name w:val="Balloon Text Char"/>
    <w:basedOn w:val="DefaultParagraphFont"/>
    <w:link w:val="BalloonText"/>
    <w:uiPriority w:val="99"/>
    <w:semiHidden/>
    <w:rsid w:val="0054634C"/>
    <w:rPr>
      <w:rFonts w:ascii="Tahoma" w:eastAsia="Calibri" w:hAnsi="Tahoma" w:cs="Tahoma"/>
      <w:sz w:val="16"/>
      <w:szCs w:val="16"/>
    </w:rPr>
  </w:style>
  <w:style w:type="paragraph" w:styleId="NormalWeb">
    <w:name w:val="Normal (Web)"/>
    <w:basedOn w:val="Normal"/>
    <w:uiPriority w:val="99"/>
    <w:unhideWhenUsed/>
    <w:rsid w:val="00347E61"/>
    <w:pPr>
      <w:spacing w:before="75" w:after="75" w:line="312" w:lineRule="atLeast"/>
    </w:pPr>
    <w:rPr>
      <w:rFonts w:ascii="Arial" w:eastAsia="Times New Roman" w:hAnsi="Arial" w:cs="Arial"/>
      <w:color w:val="313131"/>
      <w:sz w:val="21"/>
      <w:szCs w:val="21"/>
    </w:rPr>
  </w:style>
  <w:style w:type="character" w:customStyle="1" w:styleId="apple-converted-space">
    <w:name w:val="apple-converted-space"/>
    <w:basedOn w:val="DefaultParagraphFont"/>
    <w:rsid w:val="00624328"/>
  </w:style>
  <w:style w:type="character" w:styleId="FollowedHyperlink">
    <w:name w:val="FollowedHyperlink"/>
    <w:basedOn w:val="DefaultParagraphFont"/>
    <w:uiPriority w:val="99"/>
    <w:semiHidden/>
    <w:unhideWhenUsed/>
    <w:rsid w:val="00131CD8"/>
    <w:rPr>
      <w:color w:val="800080" w:themeColor="followedHyperlink"/>
      <w:u w:val="single"/>
    </w:rPr>
  </w:style>
  <w:style w:type="paragraph" w:styleId="PlainText">
    <w:name w:val="Plain Text"/>
    <w:basedOn w:val="Normal"/>
    <w:link w:val="PlainTextChar"/>
    <w:uiPriority w:val="99"/>
    <w:unhideWhenUsed/>
    <w:rsid w:val="00A93BF5"/>
    <w:rPr>
      <w:rFonts w:ascii="Consolas" w:hAnsi="Consolas" w:cs="Arial"/>
      <w:sz w:val="21"/>
      <w:szCs w:val="21"/>
    </w:rPr>
  </w:style>
  <w:style w:type="character" w:customStyle="1" w:styleId="PlainTextChar">
    <w:name w:val="Plain Text Char"/>
    <w:basedOn w:val="DefaultParagraphFont"/>
    <w:link w:val="PlainText"/>
    <w:uiPriority w:val="99"/>
    <w:rsid w:val="00A93BF5"/>
    <w:rPr>
      <w:rFonts w:ascii="Consolas" w:eastAsia="Calibri" w:hAnsi="Consolas" w:cs="Arial"/>
      <w:sz w:val="21"/>
      <w:szCs w:val="21"/>
    </w:rPr>
  </w:style>
  <w:style w:type="character" w:styleId="Emphasis">
    <w:name w:val="Emphasis"/>
    <w:basedOn w:val="DefaultParagraphFont"/>
    <w:uiPriority w:val="20"/>
    <w:qFormat/>
    <w:rsid w:val="00E120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92928">
      <w:bodyDiv w:val="1"/>
      <w:marLeft w:val="0"/>
      <w:marRight w:val="0"/>
      <w:marTop w:val="0"/>
      <w:marBottom w:val="0"/>
      <w:divBdr>
        <w:top w:val="none" w:sz="0" w:space="0" w:color="auto"/>
        <w:left w:val="none" w:sz="0" w:space="0" w:color="auto"/>
        <w:bottom w:val="none" w:sz="0" w:space="0" w:color="auto"/>
        <w:right w:val="none" w:sz="0" w:space="0" w:color="auto"/>
      </w:divBdr>
    </w:div>
    <w:div w:id="1577667761">
      <w:bodyDiv w:val="1"/>
      <w:marLeft w:val="0"/>
      <w:marRight w:val="0"/>
      <w:marTop w:val="0"/>
      <w:marBottom w:val="0"/>
      <w:divBdr>
        <w:top w:val="none" w:sz="0" w:space="0" w:color="auto"/>
        <w:left w:val="none" w:sz="0" w:space="0" w:color="auto"/>
        <w:bottom w:val="none" w:sz="0" w:space="0" w:color="auto"/>
        <w:right w:val="none" w:sz="0" w:space="0" w:color="auto"/>
      </w:divBdr>
    </w:div>
    <w:div w:id="1588074000">
      <w:bodyDiv w:val="1"/>
      <w:marLeft w:val="0"/>
      <w:marRight w:val="0"/>
      <w:marTop w:val="0"/>
      <w:marBottom w:val="0"/>
      <w:divBdr>
        <w:top w:val="none" w:sz="0" w:space="0" w:color="auto"/>
        <w:left w:val="none" w:sz="0" w:space="0" w:color="auto"/>
        <w:bottom w:val="none" w:sz="0" w:space="0" w:color="auto"/>
        <w:right w:val="none" w:sz="0" w:space="0" w:color="auto"/>
      </w:divBdr>
    </w:div>
    <w:div w:id="1853838873">
      <w:bodyDiv w:val="1"/>
      <w:marLeft w:val="0"/>
      <w:marRight w:val="0"/>
      <w:marTop w:val="0"/>
      <w:marBottom w:val="0"/>
      <w:divBdr>
        <w:top w:val="none" w:sz="0" w:space="0" w:color="auto"/>
        <w:left w:val="none" w:sz="0" w:space="0" w:color="auto"/>
        <w:bottom w:val="none" w:sz="0" w:space="0" w:color="auto"/>
        <w:right w:val="none" w:sz="0" w:space="0" w:color="auto"/>
      </w:divBdr>
    </w:div>
    <w:div w:id="193798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unj.edu/osp" TargetMode="External"/><Relationship Id="rId13" Type="http://schemas.openxmlformats.org/officeDocument/2006/relationships/hyperlink" Target="http://www.aascu.org/grc/gs/" TargetMode="External"/><Relationship Id="rId18" Type="http://schemas.openxmlformats.org/officeDocument/2006/relationships/hyperlink" Target="http://www.wpunj.edu/osp/workshops.dot" TargetMode="External"/><Relationship Id="rId26" Type="http://schemas.openxmlformats.org/officeDocument/2006/relationships/hyperlink" Target="http://www2.ed.gov/programs/fitw/index.htm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wpunj.edu/osp/narratives-and-budgets.dot" TargetMode="External"/><Relationship Id="rId34" Type="http://schemas.openxmlformats.org/officeDocument/2006/relationships/hyperlink" Target="http://www.nsf.gov/pubs/2012/nsf12529/nsf12529.pdf" TargetMode="External"/><Relationship Id="rId7" Type="http://schemas.openxmlformats.org/officeDocument/2006/relationships/hyperlink" Target="mailto:grants@wpunj.edu" TargetMode="External"/><Relationship Id="rId12" Type="http://schemas.openxmlformats.org/officeDocument/2006/relationships/hyperlink" Target="http://pivot.cos.com/funding_main" TargetMode="External"/><Relationship Id="rId17" Type="http://schemas.openxmlformats.org/officeDocument/2006/relationships/hyperlink" Target="http://www.wpunj.edu/osp/dui/index.dot" TargetMode="External"/><Relationship Id="rId25" Type="http://schemas.openxmlformats.org/officeDocument/2006/relationships/hyperlink" Target="http://www2.ed.gov/programs/tqpartnership/index.html" TargetMode="External"/><Relationship Id="rId33" Type="http://schemas.openxmlformats.org/officeDocument/2006/relationships/hyperlink" Target="https://www.nsf.gov/funding/pgm_summ.jsp?pims_id=5257" TargetMode="External"/><Relationship Id="rId38" Type="http://schemas.openxmlformats.org/officeDocument/2006/relationships/hyperlink" Target="http://www2.ed.gov/programs/fitw/index.html" TargetMode="External"/><Relationship Id="rId2" Type="http://schemas.openxmlformats.org/officeDocument/2006/relationships/styles" Target="styles.xml"/><Relationship Id="rId16" Type="http://schemas.openxmlformats.org/officeDocument/2006/relationships/hyperlink" Target="http://www.wpunj.edu/osp/funding-opportunities/index.dot" TargetMode="External"/><Relationship Id="rId20" Type="http://schemas.openxmlformats.org/officeDocument/2006/relationships/hyperlink" Target="http://www.wpunj.edu/osp/preparing-proposals.dot" TargetMode="External"/><Relationship Id="rId29" Type="http://schemas.openxmlformats.org/officeDocument/2006/relationships/hyperlink" Target="https://www.aier.org/article/1137-internship-progra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po.gov/fdsys/pkg/FR-2014-05-09/pdf/2014-10685.pdf" TargetMode="External"/><Relationship Id="rId24" Type="http://schemas.openxmlformats.org/officeDocument/2006/relationships/hyperlink" Target="http://www.mmsend65.com/link.cfm?r=1272232034&amp;sid=40228936&amp;m=4439045&amp;u=AASCU&amp;j=18746782&amp;s=http://www.grants.gov/view-opportunity.html?oppId=255318" TargetMode="External"/><Relationship Id="rId32" Type="http://schemas.openxmlformats.org/officeDocument/2006/relationships/hyperlink" Target="http://us.fulbrightonline.org/about/fulbright-us-student-program" TargetMode="External"/><Relationship Id="rId37" Type="http://schemas.openxmlformats.org/officeDocument/2006/relationships/hyperlink" Target="http://www.mmsend65.com/link.cfm?r=1272232034&amp;sid=39975079&amp;m=4399451&amp;u=AASCU&amp;j=18671748&amp;s=http://www.grants.gov/web/grants/view-opportunity.html?oppId=255049"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ascu.org/grc/" TargetMode="External"/><Relationship Id="rId23" Type="http://schemas.openxmlformats.org/officeDocument/2006/relationships/hyperlink" Target="http://www.mmsend65.com/link.cfm?r=1272232034&amp;sid=40228935&amp;m=4439045&amp;u=AASCU&amp;j=18746782&amp;s=http://www.nsf.gov/pubs/2014/nsf14562/nsf14562.htm" TargetMode="External"/><Relationship Id="rId28" Type="http://schemas.openxmlformats.org/officeDocument/2006/relationships/hyperlink" Target="http://ies.ed.gov/funding/ncer_rfas/methodology.asp" TargetMode="External"/><Relationship Id="rId36" Type="http://schemas.openxmlformats.org/officeDocument/2006/relationships/hyperlink" Target="http://www.mmsend65.com/link.cfm?r=1272232034&amp;sid=39975078&amp;m=4399451&amp;u=AASCU&amp;j=18671748&amp;s=http://www.nsf.gov/publications/pub_summ.jsp?ods_key=nsf14564" TargetMode="External"/><Relationship Id="rId10" Type="http://schemas.openxmlformats.org/officeDocument/2006/relationships/hyperlink" Target="http://www.nsf.gov/bfa/dias/policy/papp/papp15_1/fedregdraft/nsf15_1draft.pdf" TargetMode="External"/><Relationship Id="rId19" Type="http://schemas.openxmlformats.org/officeDocument/2006/relationships/hyperlink" Target="http://www.wpunj.edu/osp/irb/index.dot" TargetMode="External"/><Relationship Id="rId31" Type="http://schemas.openxmlformats.org/officeDocument/2006/relationships/hyperlink" Target="http://njch.org/grants-hf/"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grants.gov/web/grants/home.html" TargetMode="External"/><Relationship Id="rId22" Type="http://schemas.openxmlformats.org/officeDocument/2006/relationships/hyperlink" Target="http://www.wpunj.edu/osp/recent-awards.dot" TargetMode="External"/><Relationship Id="rId27" Type="http://schemas.openxmlformats.org/officeDocument/2006/relationships/hyperlink" Target="http://ies.ed.gov/funding/ncer_rfas/improving_ed.asp" TargetMode="External"/><Relationship Id="rId30" Type="http://schemas.openxmlformats.org/officeDocument/2006/relationships/hyperlink" Target="http://grants.nih.gov/grants/guide/pa-files/PA-12-256.html" TargetMode="External"/><Relationship Id="rId35" Type="http://schemas.openxmlformats.org/officeDocument/2006/relationships/hyperlink" Target="http://ies.ed.gov/funding/ncer_rfas/methodolog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5C1C1-4B6D-4B71-9EE7-65AFF0CD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WPUNJ</Company>
  <LinksUpToDate>false</LinksUpToDate>
  <CharactersWithSpaces>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GRANTS</cp:lastModifiedBy>
  <cp:revision>55</cp:revision>
  <dcterms:created xsi:type="dcterms:W3CDTF">2014-05-19T18:35:00Z</dcterms:created>
  <dcterms:modified xsi:type="dcterms:W3CDTF">2014-05-22T19:58:00Z</dcterms:modified>
</cp:coreProperties>
</file>