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740927" w:rsidRDefault="000E57D7" w:rsidP="00EA6481">
      <w:pPr>
        <w:rPr>
          <w:rFonts w:asciiTheme="minorHAnsi" w:hAnsiTheme="minorHAnsi"/>
        </w:rPr>
      </w:pPr>
      <w:r>
        <w:rPr>
          <w:rFonts w:ascii="Times New Roman" w:hAnsi="Times New Roman"/>
          <w:sz w:val="24"/>
          <w:szCs w:val="24"/>
        </w:rPr>
        <w:pict>
          <v:shapetype id="_x0000_t202" coordsize="21600,21600" o:spt="202" path="m,l,21600r21600,l21600,xe">
            <v:stroke joinstyle="miter"/>
            <v:path gradientshapeok="t" o:connecttype="rect"/>
          </v:shapetype>
          <v:shape id="_x0000_s1030" type="#_x0000_t202" style="position:absolute;margin-left:-29pt;margin-top:-37.35pt;width:529.5pt;height:93.05pt;z-index:251664384" fillcolor="#fbd4b4 [1305]">
            <v:fill color2="#9bbb59 [3206]" rotate="t" angle="-90" focus="50%" type="gradient"/>
            <v:textbox style="mso-next-textbox:#_x0000_s1030">
              <w:txbxContent>
                <w:tbl>
                  <w:tblPr>
                    <w:tblW w:w="0" w:type="auto"/>
                    <w:tblCellMar>
                      <w:left w:w="0" w:type="dxa"/>
                      <w:right w:w="0" w:type="dxa"/>
                    </w:tblCellMar>
                    <w:tblLook w:val="04A0" w:firstRow="1" w:lastRow="0" w:firstColumn="1" w:lastColumn="0" w:noHBand="0" w:noVBand="1"/>
                  </w:tblPr>
                  <w:tblGrid>
                    <w:gridCol w:w="3434"/>
                    <w:gridCol w:w="3434"/>
                    <w:gridCol w:w="3434"/>
                  </w:tblGrid>
                  <w:tr w:rsidR="001F5234">
                    <w:tc>
                      <w:tcPr>
                        <w:tcW w:w="343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31B0DD82" wp14:editId="692EA196">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6"/>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0E57D7">
                        <w:pPr>
                          <w:jc w:val="center"/>
                          <w:rPr>
                            <w:b/>
                            <w:bCs/>
                            <w:i/>
                            <w:iCs/>
                            <w:color w:val="3378CB"/>
                            <w:sz w:val="24"/>
                            <w:szCs w:val="24"/>
                          </w:rPr>
                        </w:pPr>
                        <w:hyperlink r:id="rId7" w:history="1">
                          <w:r w:rsidR="001F5234">
                            <w:rPr>
                              <w:rStyle w:val="Hyperlink"/>
                              <w:b/>
                              <w:bCs/>
                              <w:i/>
                              <w:iCs/>
                              <w:sz w:val="24"/>
                              <w:szCs w:val="24"/>
                            </w:rPr>
                            <w:t>grants@wpunj.edu</w:t>
                          </w:r>
                        </w:hyperlink>
                      </w:p>
                      <w:p w:rsidR="001F5234" w:rsidRDefault="000E57D7">
                        <w:pPr>
                          <w:jc w:val="center"/>
                          <w:rPr>
                            <w:b/>
                            <w:bCs/>
                            <w:i/>
                            <w:iCs/>
                            <w:color w:val="3378CB"/>
                          </w:rPr>
                        </w:pPr>
                        <w:hyperlink r:id="rId8"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34" w:type="dxa"/>
                        <w:tcMar>
                          <w:top w:w="0" w:type="dxa"/>
                          <w:left w:w="108" w:type="dxa"/>
                          <w:bottom w:w="0" w:type="dxa"/>
                          <w:right w:w="108" w:type="dxa"/>
                        </w:tcMar>
                        <w:hideMark/>
                      </w:tcPr>
                      <w:p w:rsidR="001F5234" w:rsidRDefault="004810B3">
                        <w:pPr>
                          <w:jc w:val="right"/>
                          <w:rPr>
                            <w:rFonts w:eastAsiaTheme="minorHAnsi"/>
                            <w:b/>
                            <w:bCs/>
                            <w:i/>
                            <w:iCs/>
                            <w:color w:val="3378CB"/>
                          </w:rPr>
                        </w:pPr>
                        <w:r>
                          <w:rPr>
                            <w:noProof/>
                            <w:sz w:val="20"/>
                            <w:szCs w:val="20"/>
                          </w:rPr>
                          <w:drawing>
                            <wp:inline distT="0" distB="0" distL="0" distR="0" wp14:anchorId="3CF9DDC5" wp14:editId="58BDA615">
                              <wp:extent cx="1328420" cy="1078230"/>
                              <wp:effectExtent l="19050" t="0" r="5080" b="0"/>
                              <wp:docPr id="4" name="Picture 2" descr="C:\Documents and Settings\grants\Local Settings\Temporary Internet Files\Content.IE5\4DXNNTVP\MC9003833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ants\Local Settings\Temporary Internet Files\Content.IE5\4DXNNTVP\MC900383380[1].wmf"/>
                                      <pic:cNvPicPr>
                                        <a:picLocks noChangeAspect="1" noChangeArrowheads="1"/>
                                      </pic:cNvPicPr>
                                    </pic:nvPicPr>
                                    <pic:blipFill>
                                      <a:blip r:embed="rId9"/>
                                      <a:srcRect/>
                                      <a:stretch>
                                        <a:fillRect/>
                                      </a:stretch>
                                    </pic:blipFill>
                                    <pic:spPr bwMode="auto">
                                      <a:xfrm>
                                        <a:off x="0" y="0"/>
                                        <a:ext cx="1328420" cy="1078230"/>
                                      </a:xfrm>
                                      <a:prstGeom prst="rect">
                                        <a:avLst/>
                                      </a:prstGeom>
                                      <a:noFill/>
                                      <a:ln w="9525">
                                        <a:noFill/>
                                        <a:miter lim="800000"/>
                                        <a:headEnd/>
                                        <a:tailEnd/>
                                      </a:ln>
                                    </pic:spPr>
                                  </pic:pic>
                                </a:graphicData>
                              </a:graphic>
                            </wp:inline>
                          </w:drawing>
                        </w:r>
                      </w:p>
                    </w:tc>
                  </w:tr>
                  <w:tr w:rsidR="001F5234">
                    <w:tc>
                      <w:tcPr>
                        <w:tcW w:w="3434" w:type="dxa"/>
                        <w:tcMar>
                          <w:top w:w="0" w:type="dxa"/>
                          <w:left w:w="108" w:type="dxa"/>
                          <w:bottom w:w="0" w:type="dxa"/>
                          <w:right w:w="108" w:type="dxa"/>
                        </w:tcMar>
                      </w:tcPr>
                      <w:p w:rsidR="001F5234" w:rsidRDefault="001F5234">
                        <w:pPr>
                          <w:jc w:val="center"/>
                          <w:rPr>
                            <w:rFonts w:eastAsiaTheme="minorHAnsi"/>
                            <w:sz w:val="20"/>
                            <w:szCs w:val="20"/>
                          </w:rPr>
                        </w:pPr>
                      </w:p>
                    </w:tc>
                    <w:tc>
                      <w:tcPr>
                        <w:tcW w:w="3434" w:type="dxa"/>
                        <w:tcMar>
                          <w:top w:w="0" w:type="dxa"/>
                          <w:left w:w="108" w:type="dxa"/>
                          <w:bottom w:w="0" w:type="dxa"/>
                          <w:right w:w="108" w:type="dxa"/>
                        </w:tcMar>
                      </w:tcPr>
                      <w:p w:rsidR="001F5234" w:rsidRDefault="001F5234">
                        <w:pPr>
                          <w:jc w:val="center"/>
                          <w:rPr>
                            <w:rFonts w:eastAsiaTheme="minorHAnsi"/>
                            <w:b/>
                            <w:bCs/>
                            <w:i/>
                            <w:iCs/>
                            <w:color w:val="000000"/>
                            <w:sz w:val="24"/>
                            <w:szCs w:val="24"/>
                          </w:rPr>
                        </w:pPr>
                      </w:p>
                    </w:tc>
                    <w:tc>
                      <w:tcPr>
                        <w:tcW w:w="3434" w:type="dxa"/>
                        <w:tcMar>
                          <w:top w:w="0" w:type="dxa"/>
                          <w:left w:w="108" w:type="dxa"/>
                          <w:bottom w:w="0" w:type="dxa"/>
                          <w:right w:w="108" w:type="dxa"/>
                        </w:tcMar>
                      </w:tcPr>
                      <w:p w:rsidR="001F5234" w:rsidRDefault="001F5234">
                        <w:pPr>
                          <w:jc w:val="right"/>
                          <w:rPr>
                            <w:rFonts w:eastAsiaTheme="minorHAnsi"/>
                            <w:b/>
                            <w:bCs/>
                            <w:i/>
                            <w:iCs/>
                            <w:color w:val="3378CB"/>
                          </w:rPr>
                        </w:pPr>
                      </w:p>
                    </w:tc>
                  </w:tr>
                </w:tbl>
                <w:p w:rsidR="001F5234" w:rsidRDefault="001F5234" w:rsidP="001F5234">
                  <w:pPr>
                    <w:jc w:val="center"/>
                    <w:rPr>
                      <w:rFonts w:eastAsiaTheme="minorHAnsi" w:cstheme="minorBidi"/>
                      <w:b/>
                      <w:bCs/>
                      <w:i/>
                      <w:iCs/>
                      <w:color w:val="3378CB"/>
                    </w:rPr>
                  </w:pPr>
                </w:p>
              </w:txbxContent>
            </v:textbox>
          </v:shape>
        </w:pict>
      </w:r>
    </w:p>
    <w:p w:rsidR="00EA6481" w:rsidRPr="00740927" w:rsidRDefault="00EA6481" w:rsidP="00EA6481">
      <w:pPr>
        <w:rPr>
          <w:rFonts w:asciiTheme="minorHAnsi" w:hAnsiTheme="minorHAnsi"/>
        </w:rPr>
      </w:pPr>
    </w:p>
    <w:p w:rsidR="001F5234" w:rsidRDefault="001F5234" w:rsidP="00AB2A06">
      <w:pPr>
        <w:rPr>
          <w:b/>
          <w:sz w:val="28"/>
          <w:szCs w:val="28"/>
          <w:u w:val="single"/>
        </w:rPr>
      </w:pPr>
    </w:p>
    <w:p w:rsidR="001F5234" w:rsidRDefault="000E57D7" w:rsidP="00AB2A06">
      <w:pPr>
        <w:rPr>
          <w:b/>
          <w:sz w:val="28"/>
          <w:szCs w:val="28"/>
          <w:u w:val="single"/>
        </w:rPr>
      </w:pPr>
      <w:r>
        <w:rPr>
          <w:rFonts w:ascii="Times New Roman" w:hAnsi="Times New Roman"/>
          <w:sz w:val="24"/>
          <w:szCs w:val="24"/>
        </w:rPr>
        <w:pict>
          <v:shape id="_x0000_s1031" type="#_x0000_t202" style="position:absolute;margin-left:-28.6pt;margin-top:11.75pt;width:529.1pt;height:643.65pt;z-index:251666432">
            <v:textbox style="mso-next-textbox:#_x0000_s1031">
              <w:txbxContent>
                <w:tbl>
                  <w:tblPr>
                    <w:tblW w:w="0" w:type="auto"/>
                    <w:tblCellMar>
                      <w:left w:w="0" w:type="dxa"/>
                      <w:right w:w="0" w:type="dxa"/>
                    </w:tblCellMar>
                    <w:tblLook w:val="04A0" w:firstRow="1" w:lastRow="0" w:firstColumn="1" w:lastColumn="0" w:noHBand="0" w:noVBand="1"/>
                  </w:tblPr>
                  <w:tblGrid>
                    <w:gridCol w:w="8028"/>
                    <w:gridCol w:w="1272"/>
                    <w:gridCol w:w="1133"/>
                  </w:tblGrid>
                  <w:tr w:rsidR="001F5234">
                    <w:tc>
                      <w:tcPr>
                        <w:tcW w:w="8028" w:type="dxa"/>
                        <w:tcMar>
                          <w:top w:w="0" w:type="dxa"/>
                          <w:left w:w="108" w:type="dxa"/>
                          <w:bottom w:w="0" w:type="dxa"/>
                          <w:right w:w="108" w:type="dxa"/>
                        </w:tcMar>
                      </w:tcPr>
                      <w:p w:rsidR="001F5234" w:rsidRDefault="000E57D7">
                        <w:pPr>
                          <w:jc w:val="center"/>
                          <w:rPr>
                            <w:rFonts w:eastAsiaTheme="minorHAnsi" w:cstheme="minorBidi"/>
                          </w:rPr>
                        </w:pPr>
                        <w:hyperlink r:id="rId10" w:history="1">
                          <w:r w:rsidR="001F5234">
                            <w:rPr>
                              <w:rStyle w:val="Hyperlink"/>
                              <w:sz w:val="36"/>
                              <w:szCs w:val="36"/>
                            </w:rPr>
                            <w:t>OSP Dates, Updates and Insights</w:t>
                          </w:r>
                        </w:hyperlink>
                      </w:p>
                      <w:p w:rsidR="001F5234" w:rsidRDefault="001F5234">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1F5234" w:rsidRDefault="001B6021">
                        <w:pPr>
                          <w:jc w:val="center"/>
                          <w:rPr>
                            <w:rFonts w:ascii="Arial" w:hAnsi="Arial" w:cs="Arial"/>
                            <w:i/>
                            <w:iCs/>
                            <w:color w:val="76923C"/>
                            <w:sz w:val="36"/>
                            <w:szCs w:val="36"/>
                          </w:rPr>
                        </w:pPr>
                        <w:r>
                          <w:rPr>
                            <w:rFonts w:ascii="Arial" w:hAnsi="Arial" w:cs="Arial"/>
                            <w:i/>
                            <w:iCs/>
                            <w:color w:val="76923C"/>
                            <w:sz w:val="36"/>
                            <w:szCs w:val="36"/>
                          </w:rPr>
                          <w:t>December 13</w:t>
                        </w:r>
                        <w:r w:rsidR="001F5234">
                          <w:rPr>
                            <w:rFonts w:ascii="Arial" w:hAnsi="Arial" w:cs="Arial"/>
                            <w:i/>
                            <w:iCs/>
                            <w:color w:val="76923C"/>
                            <w:sz w:val="36"/>
                            <w:szCs w:val="36"/>
                          </w:rPr>
                          <w:t>, 2013</w:t>
                        </w:r>
                      </w:p>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pPr>
                          <w:pStyle w:val="NormalWeb"/>
                          <w:shd w:val="clear" w:color="auto" w:fill="F7F8FA"/>
                          <w:jc w:val="center"/>
                          <w:rPr>
                            <w:color w:val="FF0000"/>
                          </w:rPr>
                        </w:pPr>
                        <w:r>
                          <w:rPr>
                            <w:b/>
                            <w:bCs/>
                            <w:color w:val="FF0000"/>
                          </w:rPr>
                          <w:t>Please contact the Office of Sponsored Programs when you begin working on a proposal</w:t>
                        </w:r>
                      </w:p>
                      <w:p w:rsidR="001F5234" w:rsidRDefault="001F5234">
                        <w:pPr>
                          <w:rPr>
                            <w:rFonts w:eastAsiaTheme="minorHAnsi"/>
                          </w:rPr>
                        </w:pPr>
                      </w:p>
                    </w:tc>
                  </w:tr>
                  <w:tr w:rsidR="001F5234">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firstRow="1" w:lastRow="0" w:firstColumn="1" w:lastColumn="0" w:noHBand="0" w:noVBand="1"/>
                        </w:tblPr>
                        <w:tblGrid>
                          <w:gridCol w:w="66"/>
                        </w:tblGrid>
                        <w:tr w:rsidR="001F5234">
                          <w:trPr>
                            <w:tblCellSpacing w:w="15" w:type="dxa"/>
                          </w:trPr>
                          <w:tc>
                            <w:tcPr>
                              <w:tcW w:w="0" w:type="auto"/>
                              <w:shd w:val="clear" w:color="auto" w:fill="F7F8FA"/>
                              <w:vAlign w:val="center"/>
                              <w:hideMark/>
                            </w:tcPr>
                            <w:p w:rsidR="001F5234" w:rsidRDefault="001F5234"/>
                          </w:tc>
                        </w:tr>
                      </w:tbl>
                      <w:p w:rsidR="0099061F" w:rsidRDefault="0099061F" w:rsidP="00171CA5">
                        <w:pPr>
                          <w:jc w:val="center"/>
                          <w:rPr>
                            <w:b/>
                            <w:bCs/>
                            <w:color w:val="00B050"/>
                            <w:sz w:val="28"/>
                            <w:szCs w:val="28"/>
                          </w:rPr>
                        </w:pPr>
                        <w:r>
                          <w:rPr>
                            <w:b/>
                            <w:bCs/>
                            <w:color w:val="00B050"/>
                            <w:sz w:val="28"/>
                            <w:szCs w:val="28"/>
                          </w:rPr>
                          <w:t>Strategies for Supporting Your Research</w:t>
                        </w:r>
                      </w:p>
                      <w:p w:rsidR="0099061F" w:rsidRPr="00B7744B" w:rsidRDefault="00B17D4F" w:rsidP="00171CA5">
                        <w:pPr>
                          <w:jc w:val="center"/>
                        </w:pPr>
                        <w:r>
                          <w:t>On Friday February</w:t>
                        </w:r>
                        <w:r w:rsidR="0099061F">
                          <w:t xml:space="preserve"> </w:t>
                        </w:r>
                        <w:r>
                          <w:t>2</w:t>
                        </w:r>
                        <w:r w:rsidR="0099061F">
                          <w:t>8, 2014 the Provost &amp; Senior Vice President for Academic Affairs, the Office of Sponsored Programs, and the Deans of Colleges of Science and Health, Humanities and Social Sciences, and Education are sponsoring a day of workshops and presentations designed to enhance your ability to write successful grant proposals. The workshops will run from 8:30 a.m. to 5:00 p.m. and feature Dr. Robert Porter, an Internationally Recognized Authority o</w:t>
                        </w:r>
                        <w:r w:rsidR="00D61896">
                          <w:t>n Research Proposal Development</w:t>
                        </w:r>
                        <w:r w:rsidR="0099061F">
                          <w:t xml:space="preserve"> and the Former Director of Research and Development at the University of Tennessee, Knoxville. The dea</w:t>
                        </w:r>
                        <w:r>
                          <w:t>dline to register is February 14, 2014</w:t>
                        </w:r>
                        <w:r w:rsidR="0099061F">
                          <w:t xml:space="preserve">. </w:t>
                        </w:r>
                        <w:r w:rsidR="00D61896">
                          <w:t xml:space="preserve">You can register by emailing </w:t>
                        </w:r>
                        <w:hyperlink r:id="rId11" w:history="1">
                          <w:r w:rsidR="00D61896" w:rsidRPr="00EB46FD">
                            <w:rPr>
                              <w:rStyle w:val="Hyperlink"/>
                            </w:rPr>
                            <w:t>grants@wpunj.edu</w:t>
                          </w:r>
                        </w:hyperlink>
                        <w:r w:rsidR="00D61896">
                          <w:t xml:space="preserve"> </w:t>
                        </w:r>
                        <w:r w:rsidR="0099061F">
                          <w:t xml:space="preserve">For more information, as well as detailed information regarding the program, visit </w:t>
                        </w:r>
                        <w:hyperlink r:id="rId12" w:history="1">
                          <w:r w:rsidR="0099061F">
                            <w:rPr>
                              <w:rStyle w:val="Hyperlink"/>
                            </w:rPr>
                            <w:t>http://www.wpunj.edu/osp/</w:t>
                          </w:r>
                        </w:hyperlink>
                      </w:p>
                      <w:p w:rsidR="0099061F" w:rsidRDefault="0099061F" w:rsidP="00171CA5">
                        <w:pPr>
                          <w:jc w:val="center"/>
                          <w:rPr>
                            <w:i/>
                            <w:sz w:val="32"/>
                            <w:szCs w:val="32"/>
                          </w:rPr>
                        </w:pPr>
                      </w:p>
                      <w:p w:rsidR="00190FF6" w:rsidRDefault="00190FF6" w:rsidP="00171CA5">
                        <w:pPr>
                          <w:jc w:val="center"/>
                          <w:rPr>
                            <w:b/>
                            <w:bCs/>
                            <w:color w:val="00B050"/>
                            <w:sz w:val="28"/>
                            <w:szCs w:val="28"/>
                          </w:rPr>
                        </w:pPr>
                        <w:r>
                          <w:rPr>
                            <w:b/>
                            <w:bCs/>
                            <w:color w:val="00B050"/>
                            <w:sz w:val="28"/>
                            <w:szCs w:val="28"/>
                          </w:rPr>
                          <w:t>Office of Sponsored Programs Survey</w:t>
                        </w:r>
                      </w:p>
                      <w:p w:rsidR="00FD7687" w:rsidRDefault="00FD7687" w:rsidP="00171CA5">
                        <w:pPr>
                          <w:jc w:val="center"/>
                          <w:rPr>
                            <w:b/>
                            <w:u w:val="single"/>
                          </w:rPr>
                        </w:pPr>
                        <w:r>
                          <w:t>We are reaching out to faculty and staff who have been engaged with the OSP in a variety of ways to complete a small group of surveys, each of which will focus on particular aspects of the OSP’s services and resources.  Each survey will require less than ten minutes of your time.  The questions are in a variety of formats and there is also the opportunity for you to provide your own comments and suggestions to us. </w:t>
                        </w:r>
                        <w:r w:rsidR="000E57D7">
                          <w:t xml:space="preserve">This is an ongoing process so if you have responded to a similar request in the past year, thank you.  </w:t>
                        </w:r>
                        <w:bookmarkStart w:id="0" w:name="_GoBack"/>
                        <w:bookmarkEnd w:id="0"/>
                        <w:r>
                          <w:t>These are the same surveys, you should not respond a second time. The surveys are voluntary, anonymous, and confidential. If you wish to participate the surveys can be found at the following links</w:t>
                        </w:r>
                        <w:r>
                          <w:rPr>
                            <w:b/>
                            <w:u w:val="single"/>
                          </w:rPr>
                          <w:t>:</w:t>
                        </w:r>
                      </w:p>
                      <w:p w:rsidR="00FD7687" w:rsidRDefault="00FD7687" w:rsidP="00171CA5">
                        <w:pPr>
                          <w:ind w:left="720"/>
                          <w:jc w:val="center"/>
                        </w:pPr>
                        <w:r w:rsidRPr="00FD7687">
                          <w:rPr>
                            <w:b/>
                          </w:rPr>
                          <w:t>Part 1, Finding Funding Opportunities and Workshops</w:t>
                        </w:r>
                        <w:r w:rsidRPr="00FD7687">
                          <w:rPr>
                            <w:b/>
                            <w:u w:val="single"/>
                          </w:rPr>
                          <w:t>:</w:t>
                        </w:r>
                        <w:r>
                          <w:t xml:space="preserve">  </w:t>
                        </w:r>
                        <w:hyperlink r:id="rId13" w:tgtFrame="_blank" w:history="1">
                          <w:r>
                            <w:rPr>
                              <w:rStyle w:val="Hyperlink"/>
                            </w:rPr>
                            <w:t>http://www.empliant.com/survey/FA0DBAAD3-144F-2090-6CD2/</w:t>
                          </w:r>
                        </w:hyperlink>
                      </w:p>
                      <w:p w:rsidR="00FD7687" w:rsidRDefault="00FD7687" w:rsidP="00171CA5">
                        <w:pPr>
                          <w:ind w:left="720"/>
                          <w:jc w:val="center"/>
                        </w:pPr>
                        <w:r w:rsidRPr="00FD7687">
                          <w:rPr>
                            <w:b/>
                          </w:rPr>
                          <w:t>Part 2: Proposal Development, Review and Submission:</w:t>
                        </w:r>
                        <w:r>
                          <w:rPr>
                            <w:b/>
                          </w:rPr>
                          <w:t xml:space="preserve"> </w:t>
                        </w:r>
                        <w:r>
                          <w:t> </w:t>
                        </w:r>
                        <w:hyperlink r:id="rId14" w:tgtFrame="_blank" w:history="1">
                          <w:r>
                            <w:rPr>
                              <w:rStyle w:val="Hyperlink"/>
                            </w:rPr>
                            <w:t>http://www.empliant.com/survey/FA1067F7F-144F-2090-6C89/</w:t>
                          </w:r>
                        </w:hyperlink>
                        <w:r>
                          <w:t>.</w:t>
                        </w:r>
                      </w:p>
                      <w:p w:rsidR="00FD7687" w:rsidRDefault="00FD7687" w:rsidP="00171CA5">
                        <w:pPr>
                          <w:ind w:left="720"/>
                          <w:jc w:val="center"/>
                        </w:pPr>
                        <w:r w:rsidRPr="00FD7687">
                          <w:rPr>
                            <w:b/>
                          </w:rPr>
                          <w:t>Part 3: Award A</w:t>
                        </w:r>
                        <w:r>
                          <w:rPr>
                            <w:b/>
                          </w:rPr>
                          <w:t xml:space="preserve">cceptance and Project Kick-Off: </w:t>
                        </w:r>
                        <w:hyperlink r:id="rId15" w:tgtFrame="_blank" w:history="1">
                          <w:r>
                            <w:rPr>
                              <w:rStyle w:val="Hyperlink"/>
                            </w:rPr>
                            <w:t>http://www.empliant.com/survey/FA0A35639-144F-2090-6C28/</w:t>
                          </w:r>
                        </w:hyperlink>
                      </w:p>
                      <w:p w:rsidR="00FD7687" w:rsidRDefault="00FD7687" w:rsidP="0044414F">
                        <w:pPr>
                          <w:rPr>
                            <w:b/>
                            <w:bCs/>
                            <w:color w:val="00B050"/>
                            <w:sz w:val="28"/>
                            <w:szCs w:val="28"/>
                          </w:rPr>
                        </w:pPr>
                      </w:p>
                      <w:p w:rsidR="001F5234" w:rsidRDefault="001F5234" w:rsidP="00171CA5">
                        <w:pPr>
                          <w:jc w:val="center"/>
                          <w:rPr>
                            <w:rFonts w:eastAsiaTheme="minorHAnsi" w:cstheme="minorBidi"/>
                            <w:i/>
                            <w:sz w:val="32"/>
                            <w:szCs w:val="32"/>
                          </w:rPr>
                        </w:pPr>
                        <w:r>
                          <w:rPr>
                            <w:i/>
                            <w:sz w:val="32"/>
                            <w:szCs w:val="32"/>
                          </w:rPr>
                          <w:t>New funding opportunities are in these disciplines</w:t>
                        </w:r>
                      </w:p>
                      <w:p w:rsidR="001F5234" w:rsidRDefault="000E57D7">
                        <w:pPr>
                          <w:jc w:val="center"/>
                          <w:rPr>
                            <w:b/>
                            <w:sz w:val="28"/>
                            <w:szCs w:val="28"/>
                          </w:rPr>
                        </w:pPr>
                        <w:hyperlink w:anchor="comp" w:history="1">
                          <w:r w:rsidR="001F5234">
                            <w:rPr>
                              <w:rStyle w:val="Hyperlink"/>
                              <w:b/>
                              <w:sz w:val="28"/>
                              <w:szCs w:val="28"/>
                            </w:rPr>
                            <w:t>Computers and Technology</w:t>
                          </w:r>
                        </w:hyperlink>
                      </w:p>
                      <w:p w:rsidR="001F5234" w:rsidRDefault="000E57D7">
                        <w:pPr>
                          <w:jc w:val="center"/>
                        </w:pPr>
                        <w:hyperlink w:anchor="edu" w:history="1">
                          <w:r w:rsidR="001F5234">
                            <w:rPr>
                              <w:rStyle w:val="Hyperlink"/>
                              <w:b/>
                              <w:sz w:val="28"/>
                              <w:szCs w:val="28"/>
                            </w:rPr>
                            <w:t>Education</w:t>
                          </w:r>
                        </w:hyperlink>
                      </w:p>
                      <w:p w:rsidR="003E3818" w:rsidRDefault="000E57D7">
                        <w:pPr>
                          <w:jc w:val="center"/>
                          <w:rPr>
                            <w:rStyle w:val="Hyperlink"/>
                            <w:b/>
                            <w:sz w:val="28"/>
                            <w:szCs w:val="28"/>
                          </w:rPr>
                        </w:pPr>
                        <w:hyperlink w:anchor="env" w:history="1">
                          <w:r w:rsidR="003E3818" w:rsidRPr="003E3818">
                            <w:rPr>
                              <w:rStyle w:val="Hyperlink"/>
                              <w:b/>
                              <w:sz w:val="28"/>
                              <w:szCs w:val="28"/>
                            </w:rPr>
                            <w:t>Environment</w:t>
                          </w:r>
                        </w:hyperlink>
                      </w:p>
                      <w:p w:rsidR="001F5234" w:rsidRDefault="000E57D7">
                        <w:pPr>
                          <w:jc w:val="center"/>
                          <w:rPr>
                            <w:b/>
                            <w:sz w:val="28"/>
                            <w:szCs w:val="28"/>
                          </w:rPr>
                        </w:pPr>
                        <w:hyperlink w:anchor="hea" w:history="1">
                          <w:r w:rsidR="001F5234">
                            <w:rPr>
                              <w:rStyle w:val="Hyperlink"/>
                              <w:b/>
                              <w:sz w:val="28"/>
                              <w:szCs w:val="28"/>
                            </w:rPr>
                            <w:t>Health</w:t>
                          </w:r>
                        </w:hyperlink>
                      </w:p>
                      <w:p w:rsidR="001F5234" w:rsidRDefault="000E57D7">
                        <w:pPr>
                          <w:jc w:val="center"/>
                          <w:rPr>
                            <w:b/>
                            <w:sz w:val="28"/>
                            <w:szCs w:val="28"/>
                          </w:rPr>
                        </w:pPr>
                        <w:hyperlink w:anchor="soc" w:history="1">
                          <w:r w:rsidR="001F5234">
                            <w:rPr>
                              <w:rStyle w:val="Hyperlink"/>
                              <w:b/>
                              <w:sz w:val="28"/>
                              <w:szCs w:val="28"/>
                            </w:rPr>
                            <w:t>Social Sciences</w:t>
                          </w:r>
                        </w:hyperlink>
                      </w:p>
                      <w:p w:rsidR="001F5234" w:rsidRPr="00C00DC6" w:rsidRDefault="000E57D7">
                        <w:pPr>
                          <w:jc w:val="center"/>
                          <w:rPr>
                            <w:rStyle w:val="Hyperlink"/>
                            <w:b/>
                            <w:sz w:val="28"/>
                            <w:szCs w:val="28"/>
                          </w:rPr>
                        </w:pPr>
                        <w:hyperlink w:anchor="wom" w:history="1">
                          <w:r w:rsidR="00C00DC6" w:rsidRPr="00C00DC6">
                            <w:rPr>
                              <w:rStyle w:val="Hyperlink"/>
                              <w:b/>
                              <w:sz w:val="28"/>
                              <w:szCs w:val="28"/>
                            </w:rPr>
                            <w:t>Women and Minorities</w:t>
                          </w:r>
                        </w:hyperlink>
                      </w:p>
                      <w:p w:rsidR="001F5234" w:rsidRDefault="001F5234">
                        <w:pPr>
                          <w:jc w:val="center"/>
                          <w:rPr>
                            <w:rFonts w:eastAsiaTheme="minorHAnsi"/>
                          </w:rPr>
                        </w:pPr>
                      </w:p>
                    </w:tc>
                    <w:tc>
                      <w:tcPr>
                        <w:tcW w:w="2360" w:type="dxa"/>
                        <w:gridSpan w:val="2"/>
                        <w:tcMar>
                          <w:top w:w="0" w:type="dxa"/>
                          <w:left w:w="108" w:type="dxa"/>
                          <w:bottom w:w="0" w:type="dxa"/>
                          <w:right w:w="108" w:type="dxa"/>
                        </w:tcMar>
                      </w:tcPr>
                      <w:p w:rsidR="001F5234" w:rsidRDefault="000E57D7">
                        <w:pPr>
                          <w:jc w:val="center"/>
                          <w:rPr>
                            <w:rFonts w:eastAsiaTheme="minorHAnsi" w:cstheme="minorBidi"/>
                            <w:sz w:val="24"/>
                            <w:szCs w:val="24"/>
                          </w:rPr>
                        </w:pPr>
                        <w:hyperlink r:id="rId16" w:history="1">
                          <w:r w:rsidR="001F5234">
                            <w:rPr>
                              <w:rStyle w:val="Hyperlink"/>
                              <w:sz w:val="24"/>
                              <w:szCs w:val="24"/>
                            </w:rPr>
                            <w:t>Workshops Calendar</w:t>
                          </w:r>
                        </w:hyperlink>
                      </w:p>
                      <w:p w:rsidR="001F5234" w:rsidRDefault="001F5234">
                        <w:pPr>
                          <w:pStyle w:val="NormalWeb"/>
                          <w:shd w:val="clear" w:color="auto" w:fill="F7F8FA"/>
                          <w:jc w:val="center"/>
                          <w:rPr>
                            <w:b/>
                            <w:bCs/>
                            <w:color w:val="FF0000"/>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0E57D7">
                        <w:pPr>
                          <w:jc w:val="center"/>
                          <w:rPr>
                            <w:rFonts w:eastAsiaTheme="minorHAnsi" w:cstheme="minorBidi"/>
                            <w:sz w:val="24"/>
                            <w:szCs w:val="24"/>
                          </w:rPr>
                        </w:pPr>
                        <w:hyperlink r:id="rId17" w:history="1">
                          <w:r w:rsidR="001F5234">
                            <w:rPr>
                              <w:rStyle w:val="Hyperlink"/>
                              <w:sz w:val="24"/>
                              <w:szCs w:val="24"/>
                            </w:rPr>
                            <w:t>Institutional Review Board</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0E57D7">
                        <w:pPr>
                          <w:jc w:val="center"/>
                          <w:rPr>
                            <w:rFonts w:eastAsiaTheme="minorHAnsi"/>
                          </w:rPr>
                        </w:pPr>
                        <w:hyperlink r:id="rId18" w:history="1">
                          <w:r w:rsidR="001F5234">
                            <w:rPr>
                              <w:rStyle w:val="Hyperlink"/>
                              <w:sz w:val="24"/>
                              <w:szCs w:val="24"/>
                            </w:rPr>
                            <w:t>Preparing Proposals</w:t>
                          </w:r>
                        </w:hyperlink>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0E57D7">
                        <w:pPr>
                          <w:jc w:val="center"/>
                          <w:rPr>
                            <w:rFonts w:eastAsiaTheme="minorHAnsi" w:cstheme="minorBidi"/>
                            <w:sz w:val="24"/>
                            <w:szCs w:val="24"/>
                          </w:rPr>
                        </w:pPr>
                        <w:hyperlink r:id="rId19" w:history="1">
                          <w:r w:rsidR="001F5234">
                            <w:rPr>
                              <w:rStyle w:val="Hyperlink"/>
                              <w:sz w:val="24"/>
                              <w:szCs w:val="24"/>
                            </w:rPr>
                            <w:t>Proposal Writing Resources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0E57D7">
                        <w:pPr>
                          <w:jc w:val="center"/>
                          <w:rPr>
                            <w:rFonts w:eastAsiaTheme="minorHAnsi" w:cstheme="minorBidi"/>
                            <w:sz w:val="24"/>
                            <w:szCs w:val="24"/>
                          </w:rPr>
                        </w:pPr>
                        <w:hyperlink r:id="rId20" w:history="1">
                          <w:r w:rsidR="001F5234">
                            <w:rPr>
                              <w:rStyle w:val="Hyperlink"/>
                              <w:sz w:val="24"/>
                              <w:szCs w:val="24"/>
                            </w:rPr>
                            <w:t>Recent Awards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rsidP="00EF6C4D">
                        <w:pPr>
                          <w:rPr>
                            <w:rFonts w:eastAsiaTheme="minorHAnsi"/>
                          </w:rPr>
                        </w:pPr>
                      </w:p>
                    </w:tc>
                  </w:tr>
                  <w:tr w:rsidR="001F5234">
                    <w:trPr>
                      <w:trHeight w:val="23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F5234">
                        <w:pPr>
                          <w:jc w:val="center"/>
                          <w:rPr>
                            <w:rFonts w:eastAsiaTheme="minorHAnsi"/>
                            <w:b/>
                            <w:bCs/>
                            <w:sz w:val="28"/>
                            <w:szCs w:val="28"/>
                            <w:u w:val="single"/>
                          </w:rPr>
                        </w:pPr>
                        <w:r>
                          <w:rPr>
                            <w:b/>
                            <w:bCs/>
                            <w:sz w:val="28"/>
                            <w:szCs w:val="28"/>
                            <w:u w:val="single"/>
                          </w:rPr>
                          <w:t>Office Hours</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340"/>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970"/>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0E57D7">
                        <w:pPr>
                          <w:jc w:val="center"/>
                          <w:rPr>
                            <w:rFonts w:eastAsiaTheme="minorHAnsi"/>
                            <w:sz w:val="20"/>
                            <w:szCs w:val="20"/>
                          </w:rPr>
                        </w:pPr>
                        <w:hyperlink r:id="rId21" w:history="1">
                          <w:r w:rsidR="001F5234">
                            <w:rPr>
                              <w:rStyle w:val="Hyperlink"/>
                              <w:sz w:val="20"/>
                              <w:szCs w:val="20"/>
                            </w:rPr>
                            <w:t>Click here</w:t>
                          </w:r>
                        </w:hyperlink>
                        <w:r w:rsidR="001F5234">
                          <w:rPr>
                            <w:sz w:val="20"/>
                            <w:szCs w:val="20"/>
                          </w:rPr>
                          <w:t xml:space="preserve"> to search for additional Funding Opportunities</w:t>
                        </w:r>
                      </w:p>
                    </w:tc>
                  </w:tr>
                </w:tbl>
                <w:p w:rsidR="001F5234" w:rsidRDefault="001F5234" w:rsidP="001F5234">
                  <w:pPr>
                    <w:rPr>
                      <w:rFonts w:eastAsiaTheme="minorHAnsi" w:cstheme="minorBidi"/>
                    </w:rPr>
                  </w:pPr>
                </w:p>
              </w:txbxContent>
            </v:textbox>
          </v:shape>
        </w:pict>
      </w: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AB2A06" w:rsidRPr="00AC5139" w:rsidRDefault="00AB2A06" w:rsidP="00AB2A06">
      <w:pPr>
        <w:pStyle w:val="PlainText"/>
        <w:rPr>
          <w:rFonts w:ascii="Calibri" w:hAnsi="Calibri"/>
          <w:b/>
          <w:sz w:val="22"/>
          <w:szCs w:val="22"/>
          <w:u w:val="single"/>
        </w:rPr>
      </w:pPr>
    </w:p>
    <w:p w:rsidR="00AB2A06" w:rsidRPr="00D3428F" w:rsidRDefault="00AB2A06" w:rsidP="00AB2A06">
      <w:pPr>
        <w:pStyle w:val="PlainText"/>
        <w:rPr>
          <w:rFonts w:ascii="Calibri" w:hAnsi="Calibri"/>
          <w:b/>
          <w:sz w:val="28"/>
          <w:szCs w:val="28"/>
          <w:u w:val="single"/>
        </w:rPr>
      </w:pPr>
      <w:bookmarkStart w:id="1" w:name="comp"/>
      <w:r w:rsidRPr="00D3428F">
        <w:rPr>
          <w:rFonts w:ascii="Calibri" w:hAnsi="Calibri"/>
          <w:b/>
          <w:sz w:val="28"/>
          <w:szCs w:val="28"/>
          <w:u w:val="single"/>
        </w:rPr>
        <w:lastRenderedPageBreak/>
        <w:t>Computers and Technology</w:t>
      </w:r>
    </w:p>
    <w:bookmarkEnd w:id="1"/>
    <w:p w:rsidR="00DC64D0" w:rsidRDefault="00DC64D0" w:rsidP="00DC64D0">
      <w:pPr>
        <w:pStyle w:val="NormalWeb"/>
        <w:spacing w:before="0" w:after="0" w:line="240" w:lineRule="auto"/>
        <w:rPr>
          <w:rFonts w:ascii="Calibri" w:eastAsia="Calibri" w:hAnsi="Calibri"/>
          <w:color w:val="auto"/>
          <w:sz w:val="20"/>
          <w:szCs w:val="20"/>
          <w:u w:val="single"/>
        </w:rPr>
      </w:pPr>
    </w:p>
    <w:p w:rsidR="00DC64D0" w:rsidRPr="00BC0CF2" w:rsidRDefault="00DC64D0" w:rsidP="00DC64D0">
      <w:pPr>
        <w:pStyle w:val="NormalWeb"/>
        <w:spacing w:before="0" w:after="0" w:line="240" w:lineRule="auto"/>
        <w:rPr>
          <w:rFonts w:asciiTheme="minorHAnsi" w:hAnsiTheme="minorHAnsi"/>
          <w:b/>
          <w:color w:val="auto"/>
          <w:sz w:val="22"/>
          <w:szCs w:val="22"/>
        </w:rPr>
      </w:pPr>
      <w:r w:rsidRPr="00BC0CF2">
        <w:rPr>
          <w:rFonts w:asciiTheme="minorHAnsi" w:hAnsiTheme="minorHAnsi" w:cs="Courier New"/>
          <w:b/>
          <w:color w:val="auto"/>
          <w:sz w:val="22"/>
          <w:szCs w:val="22"/>
        </w:rPr>
        <w:t>Innovative Technology Experiences for Students and Teachers (ITEST);</w:t>
      </w:r>
      <w:r w:rsidRPr="00BC0CF2">
        <w:rPr>
          <w:rFonts w:asciiTheme="minorHAnsi" w:hAnsiTheme="minorHAnsi"/>
          <w:b/>
          <w:color w:val="auto"/>
          <w:sz w:val="22"/>
          <w:szCs w:val="22"/>
        </w:rPr>
        <w:t xml:space="preserve"> </w:t>
      </w:r>
      <w:r w:rsidRPr="00BC0CF2">
        <w:rPr>
          <w:rFonts w:asciiTheme="minorHAnsi" w:hAnsiTheme="minorHAnsi" w:cs="Courier New"/>
          <w:b/>
          <w:color w:val="auto"/>
          <w:sz w:val="22"/>
          <w:szCs w:val="22"/>
        </w:rPr>
        <w:t xml:space="preserve">National Science Foundation (NSF): </w:t>
      </w:r>
      <w:r w:rsidRPr="00BC0CF2">
        <w:rPr>
          <w:rFonts w:asciiTheme="minorHAnsi" w:hAnsiTheme="minorHAnsi" w:cs="Courier New"/>
          <w:color w:val="auto"/>
          <w:sz w:val="22"/>
          <w:szCs w:val="22"/>
        </w:rPr>
        <w:t xml:space="preserve">supports research and development of innovative models for engaging K-12 students in authentic experiences that build their capacity to participate in the STEM and information and communications technology workforce of the future. Projects must include students and may include teachers. </w:t>
      </w:r>
      <w:r w:rsidR="00A20702" w:rsidRPr="00BC0CF2">
        <w:rPr>
          <w:rFonts w:asciiTheme="minorHAnsi" w:hAnsiTheme="minorHAnsi" w:cs="Courier New"/>
          <w:color w:val="auto"/>
          <w:sz w:val="22"/>
          <w:szCs w:val="22"/>
        </w:rPr>
        <w:t xml:space="preserve">Proposals are due February 11, 2014. </w:t>
      </w:r>
      <w:r w:rsidRPr="00BC0CF2">
        <w:rPr>
          <w:rFonts w:asciiTheme="minorHAnsi" w:hAnsiTheme="minorHAnsi" w:cs="Courier New"/>
          <w:color w:val="auto"/>
          <w:sz w:val="22"/>
          <w:szCs w:val="22"/>
        </w:rPr>
        <w:t xml:space="preserve">For more information, visit </w:t>
      </w:r>
      <w:hyperlink r:id="rId22" w:history="1">
        <w:r w:rsidRPr="00BC0CF2">
          <w:rPr>
            <w:rStyle w:val="Hyperlink"/>
            <w:rFonts w:asciiTheme="minorHAnsi" w:hAnsiTheme="minorHAnsi"/>
            <w:sz w:val="22"/>
            <w:szCs w:val="22"/>
          </w:rPr>
          <w:t>NSF.gov</w:t>
        </w:r>
      </w:hyperlink>
    </w:p>
    <w:p w:rsidR="00DC64D0" w:rsidRPr="000E39BA" w:rsidRDefault="00DC64D0" w:rsidP="00AB2A06">
      <w:pPr>
        <w:pStyle w:val="PlainText"/>
        <w:pBdr>
          <w:bottom w:val="single" w:sz="6" w:space="1" w:color="auto"/>
        </w:pBdr>
        <w:rPr>
          <w:rFonts w:ascii="Calibri" w:hAnsi="Calibri"/>
          <w:sz w:val="20"/>
          <w:szCs w:val="20"/>
          <w:u w:val="single"/>
        </w:rPr>
      </w:pPr>
    </w:p>
    <w:p w:rsidR="00AB2A06" w:rsidRPr="005F34F9" w:rsidRDefault="00AB2A06" w:rsidP="00AB2A06">
      <w:pPr>
        <w:pStyle w:val="PlainText"/>
        <w:rPr>
          <w:rFonts w:ascii="Calibri" w:hAnsi="Calibri"/>
          <w:sz w:val="20"/>
          <w:szCs w:val="20"/>
        </w:rPr>
      </w:pPr>
    </w:p>
    <w:p w:rsidR="00AB2A06" w:rsidRDefault="00AB2A06" w:rsidP="00AB2A06">
      <w:pPr>
        <w:pStyle w:val="PlainText"/>
        <w:rPr>
          <w:rFonts w:ascii="Calibri" w:hAnsi="Calibri"/>
          <w:b/>
          <w:sz w:val="28"/>
          <w:szCs w:val="28"/>
          <w:u w:val="single"/>
        </w:rPr>
      </w:pPr>
      <w:bookmarkStart w:id="2" w:name="edu"/>
      <w:r w:rsidRPr="00D3428F">
        <w:rPr>
          <w:rFonts w:ascii="Calibri" w:hAnsi="Calibri"/>
          <w:b/>
          <w:sz w:val="28"/>
          <w:szCs w:val="28"/>
          <w:u w:val="single"/>
        </w:rPr>
        <w:t>Education</w:t>
      </w:r>
    </w:p>
    <w:p w:rsidR="00B66538" w:rsidRPr="00B66538" w:rsidRDefault="00B66538" w:rsidP="00AB2A06">
      <w:pPr>
        <w:pStyle w:val="PlainText"/>
        <w:rPr>
          <w:rFonts w:ascii="Calibri" w:hAnsi="Calibri"/>
          <w:b/>
          <w:sz w:val="20"/>
          <w:szCs w:val="20"/>
          <w:u w:val="single"/>
        </w:rPr>
      </w:pPr>
    </w:p>
    <w:p w:rsidR="00B66538" w:rsidRPr="00BC0CF2" w:rsidRDefault="00B66538" w:rsidP="00B66538">
      <w:pPr>
        <w:pStyle w:val="NormalWeb"/>
        <w:spacing w:before="0" w:after="0" w:line="240" w:lineRule="auto"/>
        <w:rPr>
          <w:rFonts w:asciiTheme="minorHAnsi" w:hAnsiTheme="minorHAnsi"/>
          <w:b/>
          <w:color w:val="auto"/>
          <w:sz w:val="22"/>
          <w:szCs w:val="22"/>
        </w:rPr>
      </w:pPr>
      <w:r w:rsidRPr="00BC0CF2">
        <w:rPr>
          <w:rFonts w:asciiTheme="minorHAnsi" w:hAnsiTheme="minorHAnsi" w:cs="Courier New"/>
          <w:b/>
          <w:color w:val="auto"/>
          <w:sz w:val="22"/>
          <w:szCs w:val="22"/>
        </w:rPr>
        <w:t>Innovative Technology Experiences for Students and Teachers (ITEST);</w:t>
      </w:r>
      <w:r w:rsidRPr="00BC0CF2">
        <w:rPr>
          <w:rFonts w:asciiTheme="minorHAnsi" w:hAnsiTheme="minorHAnsi"/>
          <w:b/>
          <w:color w:val="auto"/>
          <w:sz w:val="22"/>
          <w:szCs w:val="22"/>
        </w:rPr>
        <w:t xml:space="preserve"> </w:t>
      </w:r>
      <w:r w:rsidRPr="00BC0CF2">
        <w:rPr>
          <w:rFonts w:asciiTheme="minorHAnsi" w:hAnsiTheme="minorHAnsi" w:cs="Courier New"/>
          <w:b/>
          <w:color w:val="auto"/>
          <w:sz w:val="22"/>
          <w:szCs w:val="22"/>
        </w:rPr>
        <w:t xml:space="preserve">National Science Foundation (NSF): </w:t>
      </w:r>
      <w:r w:rsidRPr="00BC0CF2">
        <w:rPr>
          <w:rFonts w:asciiTheme="minorHAnsi" w:hAnsiTheme="minorHAnsi" w:cs="Courier New"/>
          <w:color w:val="auto"/>
          <w:sz w:val="22"/>
          <w:szCs w:val="22"/>
        </w:rPr>
        <w:t>supports research and development of innovative models for engaging K-12 students in authentic experiences that build their capacity to participate in the STEM and information and communications technology workforce of the future. Projects must include students and may include teachers.</w:t>
      </w:r>
      <w:r w:rsidR="00885BFC" w:rsidRPr="00BC0CF2">
        <w:rPr>
          <w:rFonts w:asciiTheme="minorHAnsi" w:hAnsiTheme="minorHAnsi" w:cs="Courier New"/>
          <w:color w:val="auto"/>
          <w:sz w:val="22"/>
          <w:szCs w:val="22"/>
        </w:rPr>
        <w:t xml:space="preserve"> Proposals are due February 11, 2014.</w:t>
      </w:r>
      <w:r w:rsidRPr="00BC0CF2">
        <w:rPr>
          <w:rFonts w:asciiTheme="minorHAnsi" w:hAnsiTheme="minorHAnsi" w:cs="Courier New"/>
          <w:color w:val="auto"/>
          <w:sz w:val="22"/>
          <w:szCs w:val="22"/>
        </w:rPr>
        <w:t xml:space="preserve"> For more information, visit </w:t>
      </w:r>
      <w:hyperlink r:id="rId23" w:history="1">
        <w:r w:rsidRPr="00BC0CF2">
          <w:rPr>
            <w:rStyle w:val="Hyperlink"/>
            <w:rFonts w:asciiTheme="minorHAnsi" w:hAnsiTheme="minorHAnsi"/>
            <w:sz w:val="22"/>
            <w:szCs w:val="22"/>
          </w:rPr>
          <w:t>NSF.gov</w:t>
        </w:r>
      </w:hyperlink>
    </w:p>
    <w:p w:rsidR="00B66538" w:rsidRPr="006539C0" w:rsidRDefault="00B66538" w:rsidP="00B66538">
      <w:pPr>
        <w:pStyle w:val="PlainText"/>
        <w:pBdr>
          <w:bottom w:val="single" w:sz="6" w:space="1" w:color="auto"/>
        </w:pBdr>
        <w:rPr>
          <w:rFonts w:ascii="Calibri" w:hAnsi="Calibri"/>
          <w:b/>
          <w:sz w:val="20"/>
          <w:szCs w:val="20"/>
          <w:u w:val="single"/>
        </w:rPr>
      </w:pPr>
    </w:p>
    <w:p w:rsidR="00AB2A06" w:rsidRDefault="00AB2A06" w:rsidP="00AB2A06">
      <w:pPr>
        <w:pStyle w:val="PlainText"/>
        <w:rPr>
          <w:rFonts w:ascii="Calibri" w:hAnsi="Calibri"/>
          <w:b/>
          <w:sz w:val="20"/>
          <w:szCs w:val="20"/>
          <w:u w:val="single"/>
        </w:rPr>
      </w:pPr>
    </w:p>
    <w:p w:rsidR="00B524DD" w:rsidRDefault="00B524DD" w:rsidP="00B524DD">
      <w:pPr>
        <w:pStyle w:val="NormalWeb"/>
        <w:pBdr>
          <w:bottom w:val="single" w:sz="6" w:space="1" w:color="auto"/>
        </w:pBdr>
        <w:spacing w:before="0" w:after="0" w:line="240" w:lineRule="auto"/>
        <w:rPr>
          <w:rFonts w:asciiTheme="minorHAnsi" w:hAnsiTheme="minorHAnsi" w:cs="Courier New"/>
          <w:sz w:val="22"/>
          <w:szCs w:val="22"/>
        </w:rPr>
      </w:pPr>
      <w:r w:rsidRPr="00B524DD">
        <w:rPr>
          <w:rFonts w:asciiTheme="minorHAnsi" w:hAnsiTheme="minorHAnsi" w:cs="Courier New"/>
          <w:b/>
          <w:sz w:val="22"/>
          <w:szCs w:val="22"/>
        </w:rPr>
        <w:t xml:space="preserve">Youth </w:t>
      </w:r>
      <w:proofErr w:type="spellStart"/>
      <w:r w:rsidRPr="00B524DD">
        <w:rPr>
          <w:rFonts w:asciiTheme="minorHAnsi" w:hAnsiTheme="minorHAnsi" w:cs="Courier New"/>
          <w:b/>
          <w:sz w:val="22"/>
          <w:szCs w:val="22"/>
        </w:rPr>
        <w:t>CareerConnect</w:t>
      </w:r>
      <w:proofErr w:type="spellEnd"/>
      <w:r w:rsidRPr="00B524DD">
        <w:rPr>
          <w:rFonts w:asciiTheme="minorHAnsi" w:hAnsiTheme="minorHAnsi" w:cs="Courier New"/>
          <w:b/>
          <w:sz w:val="22"/>
          <w:szCs w:val="22"/>
        </w:rPr>
        <w:t xml:space="preserve"> Program</w:t>
      </w:r>
      <w:r>
        <w:rPr>
          <w:rFonts w:asciiTheme="minorHAnsi" w:hAnsiTheme="minorHAnsi" w:cs="Courier New"/>
          <w:b/>
          <w:sz w:val="22"/>
          <w:szCs w:val="22"/>
        </w:rPr>
        <w:t>;</w:t>
      </w:r>
      <w:r>
        <w:rPr>
          <w:rFonts w:asciiTheme="minorHAnsi" w:hAnsiTheme="minorHAnsi"/>
          <w:b/>
          <w:sz w:val="22"/>
          <w:szCs w:val="22"/>
        </w:rPr>
        <w:t xml:space="preserve"> </w:t>
      </w:r>
      <w:r w:rsidRPr="00B524DD">
        <w:rPr>
          <w:rFonts w:asciiTheme="minorHAnsi" w:hAnsiTheme="minorHAnsi" w:cs="Courier New"/>
          <w:b/>
          <w:sz w:val="22"/>
          <w:szCs w:val="22"/>
        </w:rPr>
        <w:t>U.S. Department of Labor</w:t>
      </w:r>
      <w:r>
        <w:rPr>
          <w:rFonts w:asciiTheme="minorHAnsi" w:hAnsiTheme="minorHAnsi" w:cs="Courier New"/>
          <w:b/>
          <w:sz w:val="22"/>
          <w:szCs w:val="22"/>
        </w:rPr>
        <w:t xml:space="preserve">: </w:t>
      </w:r>
      <w:r>
        <w:rPr>
          <w:rFonts w:asciiTheme="minorHAnsi" w:hAnsiTheme="minorHAnsi" w:cs="Courier New"/>
          <w:sz w:val="22"/>
          <w:szCs w:val="22"/>
        </w:rPr>
        <w:t>s</w:t>
      </w:r>
      <w:r w:rsidRPr="00B524DD">
        <w:rPr>
          <w:rFonts w:asciiTheme="minorHAnsi" w:hAnsiTheme="minorHAnsi" w:cs="Courier New"/>
          <w:sz w:val="22"/>
          <w:szCs w:val="22"/>
        </w:rPr>
        <w:t>upports initiati</w:t>
      </w:r>
      <w:r>
        <w:rPr>
          <w:rFonts w:asciiTheme="minorHAnsi" w:hAnsiTheme="minorHAnsi" w:cs="Courier New"/>
          <w:sz w:val="22"/>
          <w:szCs w:val="22"/>
        </w:rPr>
        <w:t xml:space="preserve">ves to strengthen college- and </w:t>
      </w:r>
      <w:r w:rsidRPr="00B524DD">
        <w:rPr>
          <w:rFonts w:asciiTheme="minorHAnsi" w:hAnsiTheme="minorHAnsi" w:cs="Courier New"/>
          <w:sz w:val="22"/>
          <w:szCs w:val="22"/>
        </w:rPr>
        <w:t xml:space="preserve">career-readiness </w:t>
      </w:r>
      <w:r>
        <w:rPr>
          <w:rFonts w:asciiTheme="minorHAnsi" w:hAnsiTheme="minorHAnsi" w:cs="Courier New"/>
          <w:sz w:val="22"/>
          <w:szCs w:val="22"/>
        </w:rPr>
        <w:t xml:space="preserve">by redesigning the high school </w:t>
      </w:r>
      <w:r w:rsidRPr="00B524DD">
        <w:rPr>
          <w:rFonts w:asciiTheme="minorHAnsi" w:hAnsiTheme="minorHAnsi" w:cs="Courier New"/>
          <w:sz w:val="22"/>
          <w:szCs w:val="22"/>
        </w:rPr>
        <w:t>experience to fo</w:t>
      </w:r>
      <w:r>
        <w:rPr>
          <w:rFonts w:asciiTheme="minorHAnsi" w:hAnsiTheme="minorHAnsi" w:cs="Courier New"/>
          <w:sz w:val="22"/>
          <w:szCs w:val="22"/>
        </w:rPr>
        <w:t xml:space="preserve">cus on providing students with </w:t>
      </w:r>
      <w:r w:rsidRPr="00B524DD">
        <w:rPr>
          <w:rFonts w:asciiTheme="minorHAnsi" w:hAnsiTheme="minorHAnsi" w:cs="Courier New"/>
          <w:sz w:val="22"/>
          <w:szCs w:val="22"/>
        </w:rPr>
        <w:t>challenging, releva</w:t>
      </w:r>
      <w:r>
        <w:rPr>
          <w:rFonts w:asciiTheme="minorHAnsi" w:hAnsiTheme="minorHAnsi" w:cs="Courier New"/>
          <w:sz w:val="22"/>
          <w:szCs w:val="22"/>
        </w:rPr>
        <w:t xml:space="preserve">nt learning opportunities, and </w:t>
      </w:r>
      <w:r w:rsidRPr="00B524DD">
        <w:rPr>
          <w:rFonts w:asciiTheme="minorHAnsi" w:hAnsiTheme="minorHAnsi" w:cs="Courier New"/>
          <w:sz w:val="22"/>
          <w:szCs w:val="22"/>
        </w:rPr>
        <w:t>enabling schools to develop new partne</w:t>
      </w:r>
      <w:r>
        <w:rPr>
          <w:rFonts w:asciiTheme="minorHAnsi" w:hAnsiTheme="minorHAnsi" w:cs="Courier New"/>
          <w:sz w:val="22"/>
          <w:szCs w:val="22"/>
        </w:rPr>
        <w:t xml:space="preserve">rships with </w:t>
      </w:r>
      <w:r w:rsidRPr="00B524DD">
        <w:rPr>
          <w:rFonts w:asciiTheme="minorHAnsi" w:hAnsiTheme="minorHAnsi" w:cs="Courier New"/>
          <w:sz w:val="22"/>
          <w:szCs w:val="22"/>
        </w:rPr>
        <w:t>colleges and employ</w:t>
      </w:r>
      <w:r>
        <w:rPr>
          <w:rFonts w:asciiTheme="minorHAnsi" w:hAnsiTheme="minorHAnsi" w:cs="Courier New"/>
          <w:sz w:val="22"/>
          <w:szCs w:val="22"/>
        </w:rPr>
        <w:t xml:space="preserve">ers to support instruction and </w:t>
      </w:r>
      <w:r w:rsidRPr="00B524DD">
        <w:rPr>
          <w:rFonts w:asciiTheme="minorHAnsi" w:hAnsiTheme="minorHAnsi" w:cs="Courier New"/>
          <w:sz w:val="22"/>
          <w:szCs w:val="22"/>
        </w:rPr>
        <w:t xml:space="preserve">to help develop </w:t>
      </w:r>
      <w:r>
        <w:rPr>
          <w:rFonts w:asciiTheme="minorHAnsi" w:hAnsiTheme="minorHAnsi" w:cs="Courier New"/>
          <w:sz w:val="22"/>
          <w:szCs w:val="22"/>
        </w:rPr>
        <w:t xml:space="preserve">the skills students need to be </w:t>
      </w:r>
      <w:r w:rsidRPr="00B524DD">
        <w:rPr>
          <w:rFonts w:asciiTheme="minorHAnsi" w:hAnsiTheme="minorHAnsi" w:cs="Courier New"/>
          <w:sz w:val="22"/>
          <w:szCs w:val="22"/>
        </w:rPr>
        <w:t>prepared for jobs now</w:t>
      </w:r>
      <w:r>
        <w:rPr>
          <w:rFonts w:asciiTheme="minorHAnsi" w:hAnsiTheme="minorHAnsi" w:cs="Courier New"/>
          <w:sz w:val="22"/>
          <w:szCs w:val="22"/>
        </w:rPr>
        <w:t xml:space="preserve"> and in the future. An IHE may </w:t>
      </w:r>
      <w:r w:rsidRPr="00B524DD">
        <w:rPr>
          <w:rFonts w:asciiTheme="minorHAnsi" w:hAnsiTheme="minorHAnsi" w:cs="Courier New"/>
          <w:sz w:val="22"/>
          <w:szCs w:val="22"/>
        </w:rPr>
        <w:t xml:space="preserve">be the lead if it operates or establishes a program </w:t>
      </w:r>
      <w:r w:rsidRPr="00B524DD">
        <w:rPr>
          <w:rFonts w:asciiTheme="minorHAnsi" w:hAnsiTheme="minorHAnsi" w:cs="Courier New"/>
          <w:sz w:val="22"/>
          <w:szCs w:val="22"/>
        </w:rPr>
        <w:br/>
        <w:t>consistent with the goals of this program.</w:t>
      </w:r>
      <w:r>
        <w:rPr>
          <w:rFonts w:asciiTheme="minorHAnsi" w:hAnsiTheme="minorHAnsi" w:cs="Courier New"/>
          <w:sz w:val="22"/>
          <w:szCs w:val="22"/>
        </w:rPr>
        <w:t xml:space="preserve"> Proposals are due January 27, 2014. For more information, visit </w:t>
      </w:r>
      <w:hyperlink r:id="rId24" w:history="1">
        <w:r w:rsidRPr="00B524DD">
          <w:rPr>
            <w:rStyle w:val="Hyperlink"/>
            <w:rFonts w:asciiTheme="minorHAnsi" w:hAnsiTheme="minorHAnsi" w:cs="Courier New"/>
            <w:sz w:val="22"/>
            <w:szCs w:val="22"/>
          </w:rPr>
          <w:t>doleta.gov</w:t>
        </w:r>
      </w:hyperlink>
    </w:p>
    <w:p w:rsidR="00B524DD" w:rsidRPr="00B524DD" w:rsidRDefault="00B524DD" w:rsidP="00B524DD">
      <w:pPr>
        <w:pStyle w:val="NormalWeb"/>
        <w:pBdr>
          <w:bottom w:val="single" w:sz="6" w:space="1" w:color="auto"/>
        </w:pBdr>
        <w:spacing w:before="0" w:after="0" w:line="240" w:lineRule="auto"/>
        <w:rPr>
          <w:rFonts w:asciiTheme="minorHAnsi" w:hAnsiTheme="minorHAnsi" w:cs="Courier New"/>
          <w:sz w:val="20"/>
          <w:szCs w:val="20"/>
        </w:rPr>
      </w:pPr>
    </w:p>
    <w:p w:rsidR="00B524DD" w:rsidRPr="00E5019E" w:rsidRDefault="00B524DD" w:rsidP="00B524DD">
      <w:pPr>
        <w:pStyle w:val="PlainText"/>
        <w:rPr>
          <w:rFonts w:ascii="Calibri" w:hAnsi="Calibri"/>
          <w:b/>
          <w:sz w:val="20"/>
          <w:szCs w:val="20"/>
          <w:u w:val="single"/>
        </w:rPr>
      </w:pPr>
    </w:p>
    <w:p w:rsidR="00AB2A06" w:rsidRPr="00D3428F" w:rsidRDefault="00AB2A06" w:rsidP="00AB2A06">
      <w:pPr>
        <w:pStyle w:val="PlainText"/>
        <w:rPr>
          <w:rFonts w:ascii="Calibri" w:hAnsi="Calibri"/>
          <w:b/>
          <w:sz w:val="28"/>
          <w:szCs w:val="28"/>
          <w:u w:val="single"/>
        </w:rPr>
      </w:pPr>
      <w:bookmarkStart w:id="3" w:name="env"/>
      <w:bookmarkEnd w:id="2"/>
      <w:r w:rsidRPr="00D3428F">
        <w:rPr>
          <w:rFonts w:ascii="Calibri" w:hAnsi="Calibri"/>
          <w:b/>
          <w:sz w:val="28"/>
          <w:szCs w:val="28"/>
          <w:u w:val="single"/>
        </w:rPr>
        <w:t>Environment</w:t>
      </w:r>
    </w:p>
    <w:bookmarkEnd w:id="3"/>
    <w:p w:rsidR="00AB2A06" w:rsidRPr="005162FF" w:rsidRDefault="00F62856" w:rsidP="00AB2A06">
      <w:pPr>
        <w:pStyle w:val="PlainText"/>
        <w:pBdr>
          <w:bottom w:val="single" w:sz="6" w:space="1" w:color="auto"/>
        </w:pBdr>
        <w:rPr>
          <w:rFonts w:asciiTheme="minorHAnsi" w:hAnsiTheme="minorHAnsi"/>
          <w:b/>
          <w:sz w:val="20"/>
          <w:szCs w:val="20"/>
        </w:rPr>
      </w:pPr>
      <w:r>
        <w:rPr>
          <w:rFonts w:asciiTheme="minorHAnsi" w:hAnsiTheme="minorHAnsi"/>
          <w:b/>
          <w:sz w:val="20"/>
          <w:szCs w:val="20"/>
        </w:rPr>
        <w:t xml:space="preserve"> </w:t>
      </w:r>
      <w:r w:rsidR="003B34C0" w:rsidRPr="003B34C0">
        <w:rPr>
          <w:rFonts w:asciiTheme="minorHAnsi" w:hAnsiTheme="minorHAnsi"/>
          <w:b/>
          <w:sz w:val="22"/>
          <w:szCs w:val="22"/>
        </w:rPr>
        <w:br/>
        <w:t>Environmental Education Model Grants -</w:t>
      </w:r>
      <w:r w:rsidR="003B34C0">
        <w:rPr>
          <w:rFonts w:asciiTheme="minorHAnsi" w:hAnsiTheme="minorHAnsi"/>
          <w:b/>
          <w:sz w:val="22"/>
          <w:szCs w:val="22"/>
        </w:rPr>
        <w:t xml:space="preserve">- Solicitation Notice for 2013; </w:t>
      </w:r>
      <w:r w:rsidR="003B34C0" w:rsidRPr="003B34C0">
        <w:rPr>
          <w:rFonts w:asciiTheme="minorHAnsi" w:hAnsiTheme="minorHAnsi"/>
          <w:b/>
          <w:sz w:val="22"/>
          <w:szCs w:val="22"/>
        </w:rPr>
        <w:t>U.S. Environmental Protection Agency (EPA); Office of Environmental Education</w:t>
      </w:r>
      <w:r w:rsidR="003B34C0">
        <w:rPr>
          <w:rFonts w:asciiTheme="minorHAnsi" w:hAnsiTheme="minorHAnsi"/>
          <w:b/>
          <w:sz w:val="22"/>
          <w:szCs w:val="22"/>
        </w:rPr>
        <w:t>:</w:t>
      </w:r>
      <w:r w:rsidR="003B34C0">
        <w:rPr>
          <w:rFonts w:asciiTheme="minorHAnsi" w:hAnsiTheme="minorHAnsi"/>
          <w:sz w:val="22"/>
          <w:szCs w:val="22"/>
        </w:rPr>
        <w:t xml:space="preserve"> </w:t>
      </w:r>
      <w:r w:rsidR="003B34C0" w:rsidRPr="003B34C0">
        <w:rPr>
          <w:rFonts w:asciiTheme="minorHAnsi" w:hAnsiTheme="minorHAnsi"/>
          <w:sz w:val="22"/>
          <w:szCs w:val="22"/>
        </w:rPr>
        <w:t>support</w:t>
      </w:r>
      <w:r w:rsidR="003B34C0">
        <w:rPr>
          <w:rFonts w:asciiTheme="minorHAnsi" w:hAnsiTheme="minorHAnsi"/>
          <w:sz w:val="22"/>
          <w:szCs w:val="22"/>
        </w:rPr>
        <w:t>s</w:t>
      </w:r>
      <w:r w:rsidR="003B34C0" w:rsidRPr="003B34C0">
        <w:rPr>
          <w:rFonts w:asciiTheme="minorHAnsi" w:hAnsiTheme="minorHAnsi"/>
          <w:sz w:val="22"/>
          <w:szCs w:val="22"/>
        </w:rPr>
        <w:t xml:space="preserve"> environmental education projects that increase the public's awareness about environmental issues and provide them with the skills to take responsible actio</w:t>
      </w:r>
      <w:r w:rsidR="003B34C0">
        <w:rPr>
          <w:rFonts w:asciiTheme="minorHAnsi" w:hAnsiTheme="minorHAnsi"/>
          <w:sz w:val="22"/>
          <w:szCs w:val="22"/>
        </w:rPr>
        <w:t xml:space="preserve">ns to protect the environment. </w:t>
      </w:r>
      <w:r w:rsidR="003B34C0" w:rsidRPr="003B34C0">
        <w:rPr>
          <w:rFonts w:asciiTheme="minorHAnsi" w:hAnsiTheme="minorHAnsi"/>
          <w:sz w:val="22"/>
          <w:szCs w:val="22"/>
        </w:rPr>
        <w:t xml:space="preserve">Applications are due February 4, 2014. </w:t>
      </w:r>
      <w:r w:rsidR="003B34C0">
        <w:rPr>
          <w:rFonts w:asciiTheme="minorHAnsi" w:hAnsiTheme="minorHAnsi"/>
          <w:sz w:val="22"/>
          <w:szCs w:val="22"/>
        </w:rPr>
        <w:t xml:space="preserve">For more information, visit </w:t>
      </w:r>
      <w:hyperlink r:id="rId25" w:history="1">
        <w:r w:rsidR="003B34C0" w:rsidRPr="003B34C0">
          <w:rPr>
            <w:rStyle w:val="Hyperlink"/>
            <w:rFonts w:asciiTheme="minorHAnsi" w:hAnsiTheme="minorHAnsi"/>
            <w:sz w:val="22"/>
            <w:szCs w:val="22"/>
          </w:rPr>
          <w:t>Solicitation</w:t>
        </w:r>
      </w:hyperlink>
      <w:r w:rsidR="003B34C0" w:rsidRPr="003B34C0">
        <w:rPr>
          <w:rFonts w:asciiTheme="minorHAnsi" w:hAnsiTheme="minorHAnsi"/>
          <w:sz w:val="22"/>
          <w:szCs w:val="22"/>
        </w:rPr>
        <w:t xml:space="preserve">, </w:t>
      </w:r>
      <w:hyperlink r:id="rId26" w:history="1">
        <w:r w:rsidR="003B34C0" w:rsidRPr="003B34C0">
          <w:rPr>
            <w:rStyle w:val="Hyperlink"/>
            <w:rFonts w:asciiTheme="minorHAnsi" w:hAnsiTheme="minorHAnsi"/>
            <w:sz w:val="22"/>
            <w:szCs w:val="22"/>
          </w:rPr>
          <w:t>Grants.gov</w:t>
        </w:r>
      </w:hyperlink>
      <w:r w:rsidR="003B34C0" w:rsidRPr="003B34C0">
        <w:rPr>
          <w:rFonts w:asciiTheme="minorHAnsi" w:hAnsiTheme="minorHAnsi"/>
          <w:sz w:val="22"/>
          <w:szCs w:val="22"/>
        </w:rPr>
        <w:br/>
      </w:r>
      <w:r>
        <w:rPr>
          <w:rFonts w:asciiTheme="minorHAnsi" w:hAnsiTheme="minorHAnsi"/>
          <w:b/>
          <w:sz w:val="20"/>
          <w:szCs w:val="20"/>
        </w:rPr>
        <w:t xml:space="preserve"> </w:t>
      </w:r>
    </w:p>
    <w:p w:rsidR="00AB2A06" w:rsidRPr="006539C0" w:rsidRDefault="00AB2A06" w:rsidP="00AB2A06">
      <w:pPr>
        <w:pStyle w:val="PlainText"/>
        <w:rPr>
          <w:rFonts w:ascii="Calibri" w:hAnsi="Calibri" w:cs="Times New Roman"/>
          <w:sz w:val="20"/>
          <w:szCs w:val="20"/>
          <w:u w:val="single"/>
        </w:rPr>
      </w:pPr>
      <w:bookmarkStart w:id="4" w:name="hea"/>
    </w:p>
    <w:p w:rsidR="00AB2A06" w:rsidRPr="00D3428F" w:rsidRDefault="00AB2A06" w:rsidP="00AB2A06">
      <w:pPr>
        <w:pStyle w:val="PlainText"/>
        <w:rPr>
          <w:rFonts w:ascii="Calibri" w:hAnsi="Calibri" w:cs="Times New Roman"/>
          <w:b/>
          <w:sz w:val="28"/>
          <w:szCs w:val="28"/>
          <w:u w:val="single"/>
        </w:rPr>
      </w:pPr>
      <w:r w:rsidRPr="00D3428F">
        <w:rPr>
          <w:rFonts w:ascii="Calibri" w:hAnsi="Calibri" w:cs="Times New Roman"/>
          <w:b/>
          <w:sz w:val="28"/>
          <w:szCs w:val="28"/>
          <w:u w:val="single"/>
        </w:rPr>
        <w:t>Health</w:t>
      </w:r>
    </w:p>
    <w:bookmarkEnd w:id="4"/>
    <w:p w:rsidR="007872B5" w:rsidRPr="005F34F9" w:rsidRDefault="001D393F" w:rsidP="00AB2A06">
      <w:pPr>
        <w:pStyle w:val="PlainText"/>
        <w:pBdr>
          <w:bottom w:val="single" w:sz="6" w:space="1" w:color="auto"/>
        </w:pBdr>
        <w:rPr>
          <w:rFonts w:asciiTheme="minorHAnsi" w:hAnsiTheme="minorHAnsi"/>
          <w:sz w:val="20"/>
          <w:szCs w:val="20"/>
        </w:rPr>
      </w:pPr>
      <w:r w:rsidRPr="001D393F">
        <w:rPr>
          <w:rFonts w:asciiTheme="minorHAnsi" w:hAnsiTheme="minorHAnsi"/>
          <w:b/>
          <w:sz w:val="22"/>
          <w:szCs w:val="22"/>
        </w:rPr>
        <w:br/>
      </w:r>
      <w:r w:rsidRPr="00BC0CF2">
        <w:rPr>
          <w:rFonts w:asciiTheme="minorHAnsi" w:hAnsiTheme="minorHAnsi"/>
          <w:b/>
          <w:sz w:val="22"/>
          <w:szCs w:val="22"/>
        </w:rPr>
        <w:t>Public Health Impact of the Changing Policy/Legal Environment for Marijuana (R01); U.S. Department of Health and Human Services (HHS); National Institutes of Health (NIH):</w:t>
      </w:r>
      <w:r w:rsidRPr="00BC0CF2">
        <w:rPr>
          <w:rFonts w:asciiTheme="minorHAnsi" w:hAnsiTheme="minorHAnsi"/>
          <w:sz w:val="22"/>
          <w:szCs w:val="22"/>
        </w:rPr>
        <w:t xml:space="preserve"> seeks applications that encourages research on the impact of changing marijuana policies and laws on public health outcomes, including marijuana exposure among children, adolescents, and adults; other licit and illicit drug use; education and professional achievement; social development; risky behaviors. Applications are due February 5, June 5, and October 5 annually. For more information, visit </w:t>
      </w:r>
      <w:hyperlink r:id="rId27" w:history="1">
        <w:r w:rsidRPr="00BC0CF2">
          <w:rPr>
            <w:rStyle w:val="Hyperlink"/>
            <w:rFonts w:asciiTheme="minorHAnsi" w:hAnsiTheme="minorHAnsi"/>
            <w:sz w:val="22"/>
            <w:szCs w:val="22"/>
          </w:rPr>
          <w:t>Solicitation</w:t>
        </w:r>
      </w:hyperlink>
      <w:r w:rsidRPr="00BC0CF2">
        <w:rPr>
          <w:rFonts w:asciiTheme="minorHAnsi" w:hAnsiTheme="minorHAnsi"/>
          <w:sz w:val="22"/>
          <w:szCs w:val="22"/>
        </w:rPr>
        <w:t xml:space="preserve">, </w:t>
      </w:r>
      <w:hyperlink r:id="rId28" w:history="1">
        <w:r w:rsidRPr="00BC0CF2">
          <w:rPr>
            <w:rStyle w:val="Hyperlink"/>
            <w:rFonts w:asciiTheme="minorHAnsi" w:hAnsiTheme="minorHAnsi"/>
            <w:sz w:val="22"/>
            <w:szCs w:val="22"/>
          </w:rPr>
          <w:t>Grants.gov</w:t>
        </w:r>
      </w:hyperlink>
      <w:r w:rsidRPr="00BC0CF2">
        <w:rPr>
          <w:rFonts w:asciiTheme="minorHAnsi" w:hAnsiTheme="minorHAnsi"/>
          <w:sz w:val="22"/>
          <w:szCs w:val="22"/>
        </w:rPr>
        <w:br/>
      </w:r>
    </w:p>
    <w:p w:rsidR="007872B5" w:rsidRPr="00BC0CF2" w:rsidRDefault="007872B5" w:rsidP="00AB2A06">
      <w:pPr>
        <w:pStyle w:val="PlainText"/>
        <w:rPr>
          <w:rFonts w:asciiTheme="minorHAnsi" w:hAnsiTheme="minorHAnsi"/>
          <w:sz w:val="22"/>
          <w:szCs w:val="22"/>
        </w:rPr>
      </w:pPr>
    </w:p>
    <w:p w:rsidR="00784B80" w:rsidRPr="00BC0CF2" w:rsidRDefault="00784B80" w:rsidP="00784B80">
      <w:pPr>
        <w:pStyle w:val="PlainText"/>
        <w:pBdr>
          <w:bottom w:val="single" w:sz="6" w:space="0" w:color="auto"/>
        </w:pBdr>
        <w:rPr>
          <w:rFonts w:asciiTheme="minorHAnsi" w:hAnsiTheme="minorHAnsi"/>
          <w:sz w:val="22"/>
          <w:szCs w:val="22"/>
        </w:rPr>
      </w:pPr>
      <w:r w:rsidRPr="00BC0CF2">
        <w:rPr>
          <w:rFonts w:asciiTheme="minorHAnsi" w:hAnsiTheme="minorHAnsi"/>
          <w:b/>
          <w:sz w:val="22"/>
          <w:szCs w:val="22"/>
        </w:rPr>
        <w:lastRenderedPageBreak/>
        <w:t>Research on Ethical Issues in Biomedical, Social and Behavioral Research (R01); National Institutes of Health (NIH):</w:t>
      </w:r>
      <w:r w:rsidRPr="00BC0CF2">
        <w:rPr>
          <w:rFonts w:asciiTheme="minorHAnsi" w:eastAsia="Times New Roman" w:hAnsiTheme="minorHAnsi"/>
          <w:sz w:val="22"/>
          <w:szCs w:val="22"/>
        </w:rPr>
        <w:t xml:space="preserve"> supports investigator-initiated Research Project Grant (R01) applications that propose to study high priority bioethical challenges and issues associated with the types of biomedical, social, and behavioral research supported by the participating NIH Institutes/Centers. Applications are due </w:t>
      </w:r>
      <w:r w:rsidRPr="00BC0CF2">
        <w:rPr>
          <w:rFonts w:asciiTheme="minorHAnsi" w:hAnsiTheme="minorHAnsi"/>
          <w:sz w:val="22"/>
          <w:szCs w:val="22"/>
        </w:rPr>
        <w:t xml:space="preserve">February 5, June 5, and October 5 annually. For more information, visit </w:t>
      </w:r>
      <w:hyperlink r:id="rId29" w:anchor="_Section_I._Funding" w:history="1">
        <w:r w:rsidRPr="00BC0CF2">
          <w:rPr>
            <w:rStyle w:val="Hyperlink"/>
            <w:rFonts w:asciiTheme="minorHAnsi" w:hAnsiTheme="minorHAnsi"/>
            <w:sz w:val="22"/>
            <w:szCs w:val="22"/>
          </w:rPr>
          <w:t>Solicitation</w:t>
        </w:r>
      </w:hyperlink>
      <w:r w:rsidRPr="00BC0CF2">
        <w:rPr>
          <w:rFonts w:asciiTheme="minorHAnsi" w:hAnsiTheme="minorHAnsi"/>
          <w:sz w:val="22"/>
          <w:szCs w:val="22"/>
        </w:rPr>
        <w:t xml:space="preserve">, </w:t>
      </w:r>
      <w:hyperlink r:id="rId30" w:history="1">
        <w:r w:rsidRPr="00BC0CF2">
          <w:rPr>
            <w:rStyle w:val="Hyperlink"/>
            <w:rFonts w:asciiTheme="minorHAnsi" w:hAnsiTheme="minorHAnsi"/>
            <w:sz w:val="22"/>
            <w:szCs w:val="22"/>
          </w:rPr>
          <w:t>Grants.gov</w:t>
        </w:r>
      </w:hyperlink>
    </w:p>
    <w:p w:rsidR="00784B80" w:rsidRPr="00784B80" w:rsidRDefault="00784B80" w:rsidP="00784B80">
      <w:pPr>
        <w:pStyle w:val="PlainText"/>
        <w:pBdr>
          <w:bottom w:val="single" w:sz="6" w:space="0" w:color="auto"/>
        </w:pBdr>
        <w:rPr>
          <w:sz w:val="20"/>
          <w:szCs w:val="20"/>
        </w:rPr>
      </w:pPr>
    </w:p>
    <w:p w:rsidR="00580CE3" w:rsidRPr="00580CE3" w:rsidRDefault="00580CE3" w:rsidP="00580CE3">
      <w:pPr>
        <w:pStyle w:val="NormalWeb"/>
        <w:spacing w:before="0" w:after="0" w:line="240" w:lineRule="auto"/>
        <w:rPr>
          <w:rFonts w:asciiTheme="minorHAnsi" w:hAnsiTheme="minorHAnsi" w:cs="Courier New"/>
          <w:b/>
          <w:sz w:val="20"/>
          <w:szCs w:val="20"/>
        </w:rPr>
      </w:pPr>
    </w:p>
    <w:p w:rsidR="00580CE3" w:rsidRDefault="00580CE3" w:rsidP="00580CE3">
      <w:pPr>
        <w:pStyle w:val="NormalWeb"/>
        <w:spacing w:before="0" w:after="0" w:line="240" w:lineRule="auto"/>
        <w:rPr>
          <w:rFonts w:asciiTheme="minorHAnsi" w:hAnsiTheme="minorHAnsi"/>
          <w:b/>
          <w:sz w:val="22"/>
          <w:szCs w:val="22"/>
        </w:rPr>
      </w:pPr>
      <w:r w:rsidRPr="00580CE3">
        <w:rPr>
          <w:rFonts w:asciiTheme="minorHAnsi" w:hAnsiTheme="minorHAnsi" w:cs="Courier New"/>
          <w:b/>
          <w:sz w:val="22"/>
          <w:szCs w:val="22"/>
        </w:rPr>
        <w:t>Nursing Workforce Diversity Grants</w:t>
      </w:r>
      <w:r>
        <w:rPr>
          <w:rFonts w:asciiTheme="minorHAnsi" w:hAnsiTheme="minorHAnsi" w:cs="Courier New"/>
          <w:b/>
          <w:sz w:val="22"/>
          <w:szCs w:val="22"/>
        </w:rPr>
        <w:t>;</w:t>
      </w:r>
      <w:r>
        <w:rPr>
          <w:rFonts w:asciiTheme="minorHAnsi" w:hAnsiTheme="minorHAnsi"/>
          <w:b/>
          <w:sz w:val="22"/>
          <w:szCs w:val="22"/>
        </w:rPr>
        <w:t xml:space="preserve"> </w:t>
      </w:r>
      <w:r>
        <w:rPr>
          <w:rFonts w:asciiTheme="minorHAnsi" w:hAnsiTheme="minorHAnsi" w:cs="Courier New"/>
          <w:b/>
          <w:sz w:val="22"/>
          <w:szCs w:val="22"/>
        </w:rPr>
        <w:t xml:space="preserve">Health Resources and Services </w:t>
      </w:r>
      <w:r w:rsidRPr="00580CE3">
        <w:rPr>
          <w:rFonts w:asciiTheme="minorHAnsi" w:hAnsiTheme="minorHAnsi" w:cs="Courier New"/>
          <w:b/>
          <w:sz w:val="22"/>
          <w:szCs w:val="22"/>
        </w:rPr>
        <w:t>Administration</w:t>
      </w:r>
      <w:r>
        <w:rPr>
          <w:rFonts w:asciiTheme="minorHAnsi" w:hAnsiTheme="minorHAnsi" w:cs="Courier New"/>
          <w:b/>
          <w:sz w:val="22"/>
          <w:szCs w:val="22"/>
        </w:rPr>
        <w:t xml:space="preserve">: </w:t>
      </w:r>
      <w:r>
        <w:rPr>
          <w:rFonts w:asciiTheme="minorHAnsi" w:hAnsiTheme="minorHAnsi" w:cs="Courier New"/>
          <w:sz w:val="22"/>
          <w:szCs w:val="22"/>
        </w:rPr>
        <w:t xml:space="preserve">seeks to increase nursing education </w:t>
      </w:r>
      <w:r w:rsidRPr="00580CE3">
        <w:rPr>
          <w:rFonts w:asciiTheme="minorHAnsi" w:hAnsiTheme="minorHAnsi" w:cs="Courier New"/>
          <w:sz w:val="22"/>
          <w:szCs w:val="22"/>
        </w:rPr>
        <w:t xml:space="preserve">opportunities for </w:t>
      </w:r>
      <w:r>
        <w:rPr>
          <w:rFonts w:asciiTheme="minorHAnsi" w:hAnsiTheme="minorHAnsi" w:cs="Courier New"/>
          <w:sz w:val="22"/>
          <w:szCs w:val="22"/>
        </w:rPr>
        <w:t xml:space="preserve">individuals from disadvantaged </w:t>
      </w:r>
      <w:r w:rsidRPr="00580CE3">
        <w:rPr>
          <w:rFonts w:asciiTheme="minorHAnsi" w:hAnsiTheme="minorHAnsi" w:cs="Courier New"/>
          <w:sz w:val="22"/>
          <w:szCs w:val="22"/>
        </w:rPr>
        <w:t>backgrounds. Goal i</w:t>
      </w:r>
      <w:r>
        <w:rPr>
          <w:rFonts w:asciiTheme="minorHAnsi" w:hAnsiTheme="minorHAnsi" w:cs="Courier New"/>
          <w:sz w:val="22"/>
          <w:szCs w:val="22"/>
        </w:rPr>
        <w:t xml:space="preserve">s to increase diversity in the </w:t>
      </w:r>
      <w:r w:rsidRPr="00580CE3">
        <w:rPr>
          <w:rFonts w:asciiTheme="minorHAnsi" w:hAnsiTheme="minorHAnsi" w:cs="Courier New"/>
          <w:sz w:val="22"/>
          <w:szCs w:val="22"/>
        </w:rPr>
        <w:t xml:space="preserve">nursing workforce. </w:t>
      </w:r>
      <w:r>
        <w:rPr>
          <w:rFonts w:asciiTheme="minorHAnsi" w:hAnsiTheme="minorHAnsi" w:cs="Courier New"/>
          <w:sz w:val="22"/>
          <w:szCs w:val="22"/>
        </w:rPr>
        <w:t>Supports evidence-based, multi-</w:t>
      </w:r>
      <w:r w:rsidRPr="00580CE3">
        <w:rPr>
          <w:rFonts w:asciiTheme="minorHAnsi" w:hAnsiTheme="minorHAnsi" w:cs="Courier New"/>
          <w:sz w:val="22"/>
          <w:szCs w:val="22"/>
        </w:rPr>
        <w:t>level partnership model</w:t>
      </w:r>
      <w:r>
        <w:rPr>
          <w:rFonts w:asciiTheme="minorHAnsi" w:hAnsiTheme="minorHAnsi" w:cs="Courier New"/>
          <w:sz w:val="22"/>
          <w:szCs w:val="22"/>
        </w:rPr>
        <w:t xml:space="preserve">s and/or </w:t>
      </w:r>
      <w:proofErr w:type="gramStart"/>
      <w:r>
        <w:rPr>
          <w:rFonts w:asciiTheme="minorHAnsi" w:hAnsiTheme="minorHAnsi" w:cs="Courier New"/>
          <w:sz w:val="22"/>
          <w:szCs w:val="22"/>
        </w:rPr>
        <w:t xml:space="preserve">strategies, that </w:t>
      </w:r>
      <w:r w:rsidRPr="00580CE3">
        <w:rPr>
          <w:rFonts w:asciiTheme="minorHAnsi" w:hAnsiTheme="minorHAnsi" w:cs="Courier New"/>
          <w:sz w:val="22"/>
          <w:szCs w:val="22"/>
        </w:rPr>
        <w:t>incorporate</w:t>
      </w:r>
      <w:r>
        <w:rPr>
          <w:rFonts w:asciiTheme="minorHAnsi" w:hAnsiTheme="minorHAnsi" w:cs="Courier New"/>
          <w:sz w:val="22"/>
          <w:szCs w:val="22"/>
        </w:rPr>
        <w:t xml:space="preserve"> social determinants of health </w:t>
      </w:r>
      <w:r w:rsidRPr="00580CE3">
        <w:rPr>
          <w:rFonts w:asciiTheme="minorHAnsi" w:hAnsiTheme="minorHAnsi" w:cs="Courier New"/>
          <w:sz w:val="22"/>
          <w:szCs w:val="22"/>
        </w:rPr>
        <w:t xml:space="preserve">frameworks into </w:t>
      </w:r>
      <w:r>
        <w:rPr>
          <w:rFonts w:asciiTheme="minorHAnsi" w:hAnsiTheme="minorHAnsi" w:cs="Courier New"/>
          <w:sz w:val="22"/>
          <w:szCs w:val="22"/>
        </w:rPr>
        <w:t xml:space="preserve">the design, implementation and </w:t>
      </w:r>
      <w:r w:rsidRPr="00580CE3">
        <w:rPr>
          <w:rFonts w:asciiTheme="minorHAnsi" w:hAnsiTheme="minorHAnsi" w:cs="Courier New"/>
          <w:sz w:val="22"/>
          <w:szCs w:val="22"/>
        </w:rPr>
        <w:t>evaluatio</w:t>
      </w:r>
      <w:r>
        <w:rPr>
          <w:rFonts w:asciiTheme="minorHAnsi" w:hAnsiTheme="minorHAnsi" w:cs="Courier New"/>
          <w:sz w:val="22"/>
          <w:szCs w:val="22"/>
        </w:rPr>
        <w:t>n of scholarship, loan and pre-</w:t>
      </w:r>
      <w:r w:rsidRPr="00580CE3">
        <w:rPr>
          <w:rFonts w:asciiTheme="minorHAnsi" w:hAnsiTheme="minorHAnsi" w:cs="Courier New"/>
          <w:sz w:val="22"/>
          <w:szCs w:val="22"/>
        </w:rPr>
        <w:t>entry/mentoring</w:t>
      </w:r>
      <w:proofErr w:type="gramEnd"/>
      <w:r w:rsidRPr="00580CE3">
        <w:rPr>
          <w:rFonts w:asciiTheme="minorHAnsi" w:hAnsiTheme="minorHAnsi" w:cs="Courier New"/>
          <w:sz w:val="22"/>
          <w:szCs w:val="22"/>
        </w:rPr>
        <w:t xml:space="preserve"> pro</w:t>
      </w:r>
      <w:r>
        <w:rPr>
          <w:rFonts w:asciiTheme="minorHAnsi" w:hAnsiTheme="minorHAnsi" w:cs="Courier New"/>
          <w:sz w:val="22"/>
          <w:szCs w:val="22"/>
        </w:rPr>
        <w:t xml:space="preserve">grams that support progression </w:t>
      </w:r>
      <w:r w:rsidRPr="00580CE3">
        <w:rPr>
          <w:rFonts w:asciiTheme="minorHAnsi" w:hAnsiTheme="minorHAnsi" w:cs="Courier New"/>
          <w:sz w:val="22"/>
          <w:szCs w:val="22"/>
        </w:rPr>
        <w:t>through professional nursing to graduate degre</w:t>
      </w:r>
      <w:r>
        <w:rPr>
          <w:rFonts w:asciiTheme="minorHAnsi" w:hAnsiTheme="minorHAnsi" w:cs="Courier New"/>
          <w:sz w:val="22"/>
          <w:szCs w:val="22"/>
        </w:rPr>
        <w:t xml:space="preserve">es. Applications are due January 24, 2014. </w:t>
      </w:r>
      <w:r w:rsidRPr="00580CE3">
        <w:rPr>
          <w:rFonts w:asciiTheme="minorHAnsi" w:hAnsiTheme="minorHAnsi" w:cs="Courier New"/>
          <w:sz w:val="22"/>
          <w:szCs w:val="22"/>
        </w:rPr>
        <w:t>Limited s</w:t>
      </w:r>
      <w:r>
        <w:rPr>
          <w:rFonts w:asciiTheme="minorHAnsi" w:hAnsiTheme="minorHAnsi" w:cs="Courier New"/>
          <w:sz w:val="22"/>
          <w:szCs w:val="22"/>
        </w:rPr>
        <w:t xml:space="preserve">ubmission: one application per </w:t>
      </w:r>
      <w:r w:rsidRPr="00580CE3">
        <w:rPr>
          <w:rFonts w:asciiTheme="minorHAnsi" w:hAnsiTheme="minorHAnsi" w:cs="Courier New"/>
          <w:sz w:val="22"/>
          <w:szCs w:val="22"/>
        </w:rPr>
        <w:t>organization.</w:t>
      </w:r>
      <w:r>
        <w:rPr>
          <w:rFonts w:asciiTheme="minorHAnsi" w:hAnsiTheme="minorHAnsi" w:cs="Courier New"/>
          <w:sz w:val="22"/>
          <w:szCs w:val="22"/>
        </w:rPr>
        <w:t xml:space="preserve"> For more information, visit </w:t>
      </w:r>
      <w:hyperlink r:id="rId31" w:history="1">
        <w:r w:rsidRPr="00580CE3">
          <w:rPr>
            <w:rStyle w:val="Hyperlink"/>
            <w:rFonts w:asciiTheme="minorHAnsi" w:hAnsiTheme="minorHAnsi" w:cs="Courier New"/>
            <w:sz w:val="22"/>
            <w:szCs w:val="22"/>
          </w:rPr>
          <w:t>HRSA.gov</w:t>
        </w:r>
      </w:hyperlink>
      <w:r>
        <w:rPr>
          <w:rFonts w:asciiTheme="minorHAnsi" w:hAnsiTheme="minorHAnsi" w:cs="Courier New"/>
          <w:sz w:val="22"/>
          <w:szCs w:val="22"/>
        </w:rPr>
        <w:t xml:space="preserve">, </w:t>
      </w:r>
      <w:hyperlink r:id="rId32" w:history="1">
        <w:r w:rsidRPr="00580CE3">
          <w:rPr>
            <w:rStyle w:val="Hyperlink"/>
            <w:rFonts w:asciiTheme="minorHAnsi" w:hAnsiTheme="minorHAnsi" w:cs="Courier New"/>
            <w:sz w:val="22"/>
            <w:szCs w:val="22"/>
          </w:rPr>
          <w:t>Grants.gov</w:t>
        </w:r>
      </w:hyperlink>
    </w:p>
    <w:p w:rsidR="00580CE3" w:rsidRPr="00580CE3" w:rsidRDefault="00580CE3" w:rsidP="00580CE3">
      <w:pPr>
        <w:pStyle w:val="NormalWeb"/>
        <w:pBdr>
          <w:bottom w:val="single" w:sz="6" w:space="1" w:color="auto"/>
        </w:pBdr>
        <w:spacing w:before="0" w:after="0" w:line="240" w:lineRule="auto"/>
        <w:rPr>
          <w:rFonts w:asciiTheme="minorHAnsi" w:hAnsiTheme="minorHAnsi"/>
          <w:b/>
          <w:sz w:val="20"/>
          <w:szCs w:val="20"/>
        </w:rPr>
      </w:pPr>
    </w:p>
    <w:p w:rsidR="00580CE3" w:rsidRDefault="00580CE3" w:rsidP="00580CE3">
      <w:pPr>
        <w:pStyle w:val="NormalWeb"/>
        <w:spacing w:before="0" w:after="0" w:line="240" w:lineRule="auto"/>
        <w:rPr>
          <w:rFonts w:asciiTheme="minorHAnsi" w:hAnsiTheme="minorHAnsi"/>
          <w:sz w:val="20"/>
          <w:szCs w:val="20"/>
        </w:rPr>
      </w:pPr>
    </w:p>
    <w:p w:rsidR="001859E2" w:rsidRDefault="001859E2" w:rsidP="00580CE3">
      <w:pPr>
        <w:pStyle w:val="NormalWeb"/>
        <w:pBdr>
          <w:bottom w:val="single" w:sz="6" w:space="1" w:color="auto"/>
        </w:pBdr>
        <w:spacing w:before="0" w:after="0" w:line="240" w:lineRule="auto"/>
        <w:rPr>
          <w:rFonts w:asciiTheme="minorHAnsi" w:hAnsiTheme="minorHAnsi"/>
          <w:sz w:val="22"/>
          <w:szCs w:val="22"/>
        </w:rPr>
      </w:pPr>
      <w:r w:rsidRPr="00BC0CF2">
        <w:rPr>
          <w:rFonts w:asciiTheme="minorHAnsi" w:hAnsiTheme="minorHAnsi"/>
          <w:b/>
          <w:bCs/>
          <w:color w:val="auto"/>
          <w:spacing w:val="3"/>
          <w:sz w:val="22"/>
          <w:szCs w:val="22"/>
          <w:shd w:val="clear" w:color="auto" w:fill="FFFFFF"/>
        </w:rPr>
        <w:t xml:space="preserve">Women &amp; Sex/Gender Differences in Drug and Alcohol Abuse/Dependence (R01); </w:t>
      </w:r>
      <w:r w:rsidRPr="00BC0CF2">
        <w:rPr>
          <w:rFonts w:asciiTheme="minorHAnsi" w:hAnsiTheme="minorHAnsi"/>
          <w:b/>
          <w:color w:val="auto"/>
          <w:sz w:val="22"/>
          <w:szCs w:val="22"/>
        </w:rPr>
        <w:t xml:space="preserve">National Institute on Drug Abuse (NIDA) and National Institute on Alcohol Abuse and Alcoholism (NIAAA): </w:t>
      </w:r>
      <w:r w:rsidRPr="00BC0CF2">
        <w:rPr>
          <w:rFonts w:asciiTheme="minorHAnsi" w:hAnsiTheme="minorHAnsi"/>
          <w:color w:val="auto"/>
          <w:sz w:val="22"/>
          <w:szCs w:val="22"/>
        </w:rPr>
        <w:t xml:space="preserve">supports research </w:t>
      </w:r>
      <w:r w:rsidRPr="00BC0CF2">
        <w:rPr>
          <w:rFonts w:asciiTheme="minorHAnsi" w:hAnsiTheme="minorHAnsi"/>
          <w:sz w:val="22"/>
          <w:szCs w:val="22"/>
        </w:rPr>
        <w:t>on male-females differences in drug and alcohol abuse and addiction and on factors specific to women. Both human and animal model studies are sought.</w:t>
      </w:r>
      <w:r w:rsidR="00BC0CF2" w:rsidRPr="00BC0CF2">
        <w:rPr>
          <w:rFonts w:asciiTheme="minorHAnsi" w:hAnsiTheme="minorHAnsi"/>
          <w:sz w:val="22"/>
          <w:szCs w:val="22"/>
        </w:rPr>
        <w:t xml:space="preserve"> Applications are due February 5, June 5, and October 5 annually. For more information, visit </w:t>
      </w:r>
      <w:hyperlink r:id="rId33" w:history="1">
        <w:r w:rsidR="00BC0CF2" w:rsidRPr="00BC0CF2">
          <w:rPr>
            <w:rStyle w:val="Hyperlink"/>
            <w:rFonts w:asciiTheme="minorHAnsi" w:hAnsiTheme="minorHAnsi"/>
            <w:sz w:val="22"/>
            <w:szCs w:val="22"/>
          </w:rPr>
          <w:t>Solicitation</w:t>
        </w:r>
      </w:hyperlink>
      <w:r w:rsidR="00BC0CF2" w:rsidRPr="00BC0CF2">
        <w:rPr>
          <w:rFonts w:asciiTheme="minorHAnsi" w:hAnsiTheme="minorHAnsi"/>
          <w:sz w:val="22"/>
          <w:szCs w:val="22"/>
        </w:rPr>
        <w:t xml:space="preserve">, </w:t>
      </w:r>
      <w:hyperlink r:id="rId34" w:history="1">
        <w:r w:rsidR="00BC0CF2" w:rsidRPr="00BC0CF2">
          <w:rPr>
            <w:rStyle w:val="Hyperlink"/>
            <w:rFonts w:asciiTheme="minorHAnsi" w:hAnsiTheme="minorHAnsi"/>
            <w:sz w:val="22"/>
            <w:szCs w:val="22"/>
          </w:rPr>
          <w:t>Grants.gov</w:t>
        </w:r>
      </w:hyperlink>
    </w:p>
    <w:p w:rsidR="00113B07" w:rsidRPr="00113B07" w:rsidRDefault="00113B07" w:rsidP="00580CE3">
      <w:pPr>
        <w:pStyle w:val="NormalWeb"/>
        <w:pBdr>
          <w:bottom w:val="single" w:sz="6" w:space="1" w:color="auto"/>
        </w:pBdr>
        <w:spacing w:before="0" w:after="0" w:line="240" w:lineRule="auto"/>
        <w:rPr>
          <w:rFonts w:asciiTheme="minorHAnsi" w:hAnsiTheme="minorHAnsi"/>
          <w:sz w:val="20"/>
          <w:szCs w:val="20"/>
        </w:rPr>
      </w:pPr>
    </w:p>
    <w:p w:rsidR="00AB2A06" w:rsidRPr="005F34F9" w:rsidRDefault="00AB2A06" w:rsidP="00AB2A06">
      <w:pPr>
        <w:pStyle w:val="PlainText"/>
        <w:rPr>
          <w:rFonts w:ascii="Calibri" w:hAnsi="Calibri"/>
          <w:b/>
          <w:sz w:val="20"/>
          <w:szCs w:val="20"/>
        </w:rPr>
      </w:pPr>
    </w:p>
    <w:p w:rsidR="00AB2A06" w:rsidRPr="00D3428F" w:rsidRDefault="00AB2A06" w:rsidP="00AB2A06">
      <w:pPr>
        <w:pStyle w:val="PlainText"/>
        <w:rPr>
          <w:rFonts w:ascii="Calibri" w:hAnsi="Calibri"/>
          <w:b/>
          <w:sz w:val="28"/>
          <w:szCs w:val="28"/>
          <w:u w:val="single"/>
        </w:rPr>
      </w:pPr>
      <w:bookmarkStart w:id="5" w:name="soc"/>
      <w:r w:rsidRPr="00D3428F">
        <w:rPr>
          <w:rFonts w:ascii="Calibri" w:hAnsi="Calibri"/>
          <w:b/>
          <w:sz w:val="28"/>
          <w:szCs w:val="28"/>
          <w:u w:val="single"/>
        </w:rPr>
        <w:t>Social Sciences</w:t>
      </w:r>
    </w:p>
    <w:bookmarkEnd w:id="5"/>
    <w:p w:rsidR="00AB2A06" w:rsidRDefault="00AB2A06" w:rsidP="00AB2A06">
      <w:pPr>
        <w:pStyle w:val="PlainText"/>
        <w:pBdr>
          <w:bottom w:val="single" w:sz="6" w:space="1" w:color="auto"/>
        </w:pBdr>
        <w:rPr>
          <w:rFonts w:ascii="Calibri" w:hAnsi="Calibri"/>
          <w:sz w:val="20"/>
          <w:szCs w:val="20"/>
        </w:rPr>
      </w:pPr>
    </w:p>
    <w:p w:rsidR="001D393F" w:rsidRPr="00BC0CF2" w:rsidRDefault="001D393F" w:rsidP="00AB2A06">
      <w:pPr>
        <w:pStyle w:val="PlainText"/>
        <w:pBdr>
          <w:bottom w:val="single" w:sz="6" w:space="1" w:color="auto"/>
        </w:pBdr>
        <w:rPr>
          <w:rFonts w:asciiTheme="minorHAnsi" w:hAnsiTheme="minorHAnsi"/>
          <w:sz w:val="22"/>
          <w:szCs w:val="22"/>
        </w:rPr>
      </w:pPr>
      <w:r w:rsidRPr="00BC0CF2">
        <w:rPr>
          <w:rFonts w:asciiTheme="minorHAnsi" w:hAnsiTheme="minorHAnsi"/>
          <w:b/>
          <w:sz w:val="22"/>
          <w:szCs w:val="22"/>
        </w:rPr>
        <w:t>Public Health Impact of the Changing Policy/Legal Environment for Marijuana (R01); U.S. Department of Health and Human Services (HHS); National Institutes of Health (NIH):</w:t>
      </w:r>
      <w:r w:rsidRPr="00BC0CF2">
        <w:rPr>
          <w:rFonts w:asciiTheme="minorHAnsi" w:hAnsiTheme="minorHAnsi"/>
          <w:sz w:val="22"/>
          <w:szCs w:val="22"/>
        </w:rPr>
        <w:t xml:space="preserve"> seeks applications that encourages research on the impact of changing marijuana policies and laws on public health outcomes, including marijuana exposure among children, adolescents, and adults; other licit and illicit drug use; education and professional achievement; social development; risky behaviors. Applications are due February 5, June 5, and October 5 annually. For more information, visit </w:t>
      </w:r>
      <w:hyperlink r:id="rId35" w:history="1">
        <w:r w:rsidRPr="00BC0CF2">
          <w:rPr>
            <w:rStyle w:val="Hyperlink"/>
            <w:rFonts w:asciiTheme="minorHAnsi" w:hAnsiTheme="minorHAnsi"/>
            <w:sz w:val="22"/>
            <w:szCs w:val="22"/>
          </w:rPr>
          <w:t>Solicitation</w:t>
        </w:r>
      </w:hyperlink>
      <w:r w:rsidRPr="00BC0CF2">
        <w:rPr>
          <w:rFonts w:asciiTheme="minorHAnsi" w:hAnsiTheme="minorHAnsi"/>
          <w:sz w:val="22"/>
          <w:szCs w:val="22"/>
        </w:rPr>
        <w:t xml:space="preserve">, </w:t>
      </w:r>
      <w:hyperlink r:id="rId36" w:history="1">
        <w:r w:rsidRPr="00BC0CF2">
          <w:rPr>
            <w:rStyle w:val="Hyperlink"/>
            <w:rFonts w:asciiTheme="minorHAnsi" w:hAnsiTheme="minorHAnsi"/>
            <w:sz w:val="22"/>
            <w:szCs w:val="22"/>
          </w:rPr>
          <w:t>Grants.gov</w:t>
        </w:r>
      </w:hyperlink>
    </w:p>
    <w:p w:rsidR="001D393F" w:rsidRPr="001D393F" w:rsidRDefault="001D393F" w:rsidP="00AB2A06">
      <w:pPr>
        <w:pStyle w:val="PlainText"/>
        <w:pBdr>
          <w:bottom w:val="single" w:sz="6" w:space="1" w:color="auto"/>
        </w:pBdr>
        <w:rPr>
          <w:rFonts w:ascii="Calibri" w:hAnsi="Calibri"/>
          <w:sz w:val="20"/>
          <w:szCs w:val="20"/>
        </w:rPr>
      </w:pPr>
    </w:p>
    <w:p w:rsidR="00AB2A06" w:rsidRDefault="00AB2A06" w:rsidP="00AB2A06">
      <w:pPr>
        <w:pStyle w:val="PlainText"/>
        <w:rPr>
          <w:rFonts w:ascii="Calibri" w:hAnsi="Calibri"/>
          <w:sz w:val="20"/>
          <w:szCs w:val="20"/>
        </w:rPr>
      </w:pPr>
    </w:p>
    <w:p w:rsidR="00C435E1" w:rsidRDefault="00C435E1" w:rsidP="00C435E1">
      <w:pPr>
        <w:pStyle w:val="PlainText"/>
        <w:pBdr>
          <w:bottom w:val="single" w:sz="6" w:space="0" w:color="auto"/>
        </w:pBdr>
        <w:rPr>
          <w:rStyle w:val="Hyperlink"/>
          <w:rFonts w:asciiTheme="minorHAnsi" w:hAnsiTheme="minorHAnsi"/>
          <w:sz w:val="22"/>
          <w:szCs w:val="22"/>
        </w:rPr>
      </w:pPr>
      <w:r w:rsidRPr="00BC0CF2">
        <w:rPr>
          <w:rFonts w:asciiTheme="minorHAnsi" w:hAnsiTheme="minorHAnsi"/>
          <w:b/>
          <w:sz w:val="22"/>
          <w:szCs w:val="22"/>
        </w:rPr>
        <w:t>Research on Ethical Issues in Biomedical, Social and Behavioral Research (R01); National Institutes of Health (NIH):</w:t>
      </w:r>
      <w:r w:rsidRPr="00BC0CF2">
        <w:rPr>
          <w:rFonts w:asciiTheme="minorHAnsi" w:eastAsia="Times New Roman" w:hAnsiTheme="minorHAnsi"/>
          <w:sz w:val="22"/>
          <w:szCs w:val="22"/>
        </w:rPr>
        <w:t xml:space="preserve"> supports investigator-initiated Research Project Grant (R01) applications that propose to study high priority bioethical challenges and issues associated with the types of biomedical, social, and behavioral research supported by the participating NIH Institutes/Centers. Applications are due </w:t>
      </w:r>
      <w:r w:rsidRPr="00BC0CF2">
        <w:rPr>
          <w:rFonts w:asciiTheme="minorHAnsi" w:hAnsiTheme="minorHAnsi"/>
          <w:sz w:val="22"/>
          <w:szCs w:val="22"/>
        </w:rPr>
        <w:t xml:space="preserve">February 5, June 5, and October 5 annually. For more information, visit </w:t>
      </w:r>
      <w:hyperlink r:id="rId37" w:anchor="_Section_I._Funding" w:history="1">
        <w:r w:rsidRPr="00BC0CF2">
          <w:rPr>
            <w:rStyle w:val="Hyperlink"/>
            <w:rFonts w:asciiTheme="minorHAnsi" w:hAnsiTheme="minorHAnsi"/>
            <w:sz w:val="22"/>
            <w:szCs w:val="22"/>
          </w:rPr>
          <w:t>Solicitation</w:t>
        </w:r>
      </w:hyperlink>
      <w:r w:rsidRPr="00BC0CF2">
        <w:rPr>
          <w:rFonts w:asciiTheme="minorHAnsi" w:hAnsiTheme="minorHAnsi"/>
          <w:sz w:val="22"/>
          <w:szCs w:val="22"/>
        </w:rPr>
        <w:t xml:space="preserve">, </w:t>
      </w:r>
      <w:hyperlink r:id="rId38" w:history="1">
        <w:r w:rsidRPr="00BC0CF2">
          <w:rPr>
            <w:rStyle w:val="Hyperlink"/>
            <w:rFonts w:asciiTheme="minorHAnsi" w:hAnsiTheme="minorHAnsi"/>
            <w:sz w:val="22"/>
            <w:szCs w:val="22"/>
          </w:rPr>
          <w:t>Grants.gov</w:t>
        </w:r>
      </w:hyperlink>
    </w:p>
    <w:p w:rsidR="00021F73" w:rsidRPr="005F34F9" w:rsidRDefault="00021F73" w:rsidP="00C435E1">
      <w:pPr>
        <w:pStyle w:val="PlainText"/>
        <w:pBdr>
          <w:bottom w:val="single" w:sz="6" w:space="0" w:color="auto"/>
        </w:pBdr>
        <w:rPr>
          <w:rFonts w:asciiTheme="minorHAnsi" w:hAnsiTheme="minorHAnsi"/>
          <w:sz w:val="20"/>
          <w:szCs w:val="20"/>
        </w:rPr>
      </w:pPr>
    </w:p>
    <w:p w:rsidR="00AB2A06" w:rsidRPr="006539C0" w:rsidRDefault="00AB2A06" w:rsidP="00AB2A06">
      <w:pPr>
        <w:pStyle w:val="PlainText"/>
        <w:rPr>
          <w:rFonts w:ascii="Calibri" w:hAnsi="Calibri"/>
          <w:b/>
          <w:sz w:val="20"/>
          <w:szCs w:val="20"/>
          <w:u w:val="single"/>
        </w:rPr>
      </w:pPr>
    </w:p>
    <w:p w:rsidR="00AB2A06" w:rsidRPr="00D3428F" w:rsidRDefault="00AB2A06" w:rsidP="00AB2A06">
      <w:pPr>
        <w:pStyle w:val="PlainText"/>
        <w:rPr>
          <w:rFonts w:ascii="Calibri" w:hAnsi="Calibri"/>
          <w:b/>
          <w:sz w:val="28"/>
          <w:szCs w:val="28"/>
          <w:u w:val="single"/>
        </w:rPr>
      </w:pPr>
      <w:bookmarkStart w:id="6" w:name="wom"/>
      <w:r w:rsidRPr="00D3428F">
        <w:rPr>
          <w:rFonts w:ascii="Calibri" w:hAnsi="Calibri"/>
          <w:b/>
          <w:sz w:val="28"/>
          <w:szCs w:val="28"/>
          <w:u w:val="single"/>
        </w:rPr>
        <w:t xml:space="preserve">Women and Minorities </w:t>
      </w:r>
    </w:p>
    <w:bookmarkEnd w:id="6"/>
    <w:p w:rsidR="00EA6481" w:rsidRPr="0059609E" w:rsidRDefault="00EA6481" w:rsidP="00EA6481">
      <w:pPr>
        <w:pStyle w:val="PlainText"/>
        <w:pBdr>
          <w:bottom w:val="single" w:sz="6" w:space="1" w:color="auto"/>
        </w:pBdr>
        <w:rPr>
          <w:rFonts w:asciiTheme="minorHAnsi" w:hAnsiTheme="minorHAnsi"/>
          <w:sz w:val="20"/>
          <w:szCs w:val="20"/>
        </w:rPr>
      </w:pPr>
    </w:p>
    <w:p w:rsidR="0059609E" w:rsidRDefault="0059609E" w:rsidP="0059609E">
      <w:pPr>
        <w:pStyle w:val="NormalWeb"/>
        <w:pBdr>
          <w:bottom w:val="single" w:sz="6" w:space="1" w:color="auto"/>
        </w:pBdr>
        <w:spacing w:before="0" w:after="0" w:line="240" w:lineRule="auto"/>
        <w:rPr>
          <w:rFonts w:asciiTheme="minorHAnsi" w:hAnsiTheme="minorHAnsi"/>
          <w:sz w:val="22"/>
          <w:szCs w:val="22"/>
        </w:rPr>
      </w:pPr>
      <w:r w:rsidRPr="00BC0CF2">
        <w:rPr>
          <w:rFonts w:asciiTheme="minorHAnsi" w:hAnsiTheme="minorHAnsi"/>
          <w:b/>
          <w:bCs/>
          <w:color w:val="auto"/>
          <w:spacing w:val="3"/>
          <w:sz w:val="22"/>
          <w:szCs w:val="22"/>
          <w:shd w:val="clear" w:color="auto" w:fill="FFFFFF"/>
        </w:rPr>
        <w:t xml:space="preserve">Women &amp; Sex/Gender Differences in Drug and Alcohol Abuse/Dependence (R01); </w:t>
      </w:r>
      <w:r w:rsidRPr="00BC0CF2">
        <w:rPr>
          <w:rFonts w:asciiTheme="minorHAnsi" w:hAnsiTheme="minorHAnsi"/>
          <w:b/>
          <w:color w:val="auto"/>
          <w:sz w:val="22"/>
          <w:szCs w:val="22"/>
        </w:rPr>
        <w:t xml:space="preserve">National Institute on Drug Abuse (NIDA) and National Institute on Alcohol Abuse and Alcoholism (NIAAA): </w:t>
      </w:r>
      <w:r w:rsidRPr="00BC0CF2">
        <w:rPr>
          <w:rFonts w:asciiTheme="minorHAnsi" w:hAnsiTheme="minorHAnsi"/>
          <w:color w:val="auto"/>
          <w:sz w:val="22"/>
          <w:szCs w:val="22"/>
        </w:rPr>
        <w:t xml:space="preserve">supports research </w:t>
      </w:r>
      <w:r w:rsidRPr="00BC0CF2">
        <w:rPr>
          <w:rFonts w:asciiTheme="minorHAnsi" w:hAnsiTheme="minorHAnsi"/>
          <w:sz w:val="22"/>
          <w:szCs w:val="22"/>
        </w:rPr>
        <w:t xml:space="preserve">on male-females differences in drug and alcohol abuse and addiction and on factors specific to women. Both human and animal model studies are sought. Applications are due February 5, June 5, and October 5 annually. For more information, visit </w:t>
      </w:r>
      <w:hyperlink r:id="rId39" w:history="1">
        <w:r w:rsidRPr="00BC0CF2">
          <w:rPr>
            <w:rStyle w:val="Hyperlink"/>
            <w:rFonts w:asciiTheme="minorHAnsi" w:hAnsiTheme="minorHAnsi"/>
            <w:sz w:val="22"/>
            <w:szCs w:val="22"/>
          </w:rPr>
          <w:t>Solicitation</w:t>
        </w:r>
      </w:hyperlink>
      <w:r w:rsidRPr="00BC0CF2">
        <w:rPr>
          <w:rFonts w:asciiTheme="minorHAnsi" w:hAnsiTheme="minorHAnsi"/>
          <w:sz w:val="22"/>
          <w:szCs w:val="22"/>
        </w:rPr>
        <w:t xml:space="preserve">, </w:t>
      </w:r>
      <w:hyperlink r:id="rId40" w:history="1">
        <w:r w:rsidRPr="00BC0CF2">
          <w:rPr>
            <w:rStyle w:val="Hyperlink"/>
            <w:rFonts w:asciiTheme="minorHAnsi" w:hAnsiTheme="minorHAnsi"/>
            <w:sz w:val="22"/>
            <w:szCs w:val="22"/>
          </w:rPr>
          <w:t>Grants.gov</w:t>
        </w:r>
      </w:hyperlink>
    </w:p>
    <w:p w:rsidR="0059609E" w:rsidRPr="0059609E" w:rsidRDefault="0059609E" w:rsidP="00EA6481">
      <w:pPr>
        <w:pStyle w:val="PlainText"/>
        <w:pBdr>
          <w:bottom w:val="single" w:sz="6" w:space="1" w:color="auto"/>
        </w:pBdr>
        <w:rPr>
          <w:rFonts w:asciiTheme="minorHAnsi" w:hAnsiTheme="minorHAnsi"/>
          <w:sz w:val="20"/>
          <w:szCs w:val="20"/>
        </w:rPr>
      </w:pP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0E57D7" w:rsidP="00EA6481">
      <w:pPr>
        <w:rPr>
          <w:rFonts w:asciiTheme="minorHAnsi" w:hAnsiTheme="minorHAnsi"/>
        </w:rPr>
      </w:pPr>
      <w:r>
        <w:rPr>
          <w:rFonts w:asciiTheme="minorHAnsi" w:hAnsiTheme="minorHAnsi"/>
          <w:noProof/>
        </w:rPr>
        <w:pict>
          <v:shape id="_x0000_s1028" type="#_x0000_t202" style="position:absolute;margin-left:-44.35pt;margin-top:-37.35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Additional Funding Opportunities:</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0E57D7" w:rsidP="00E967E4">
                        <w:hyperlink r:id="rId41" w:history="1">
                          <w:r w:rsidR="00EA6481" w:rsidRPr="00E967E4">
                            <w:rPr>
                              <w:rStyle w:val="Hyperlink"/>
                              <w:b/>
                              <w:bCs/>
                            </w:rPr>
                            <w:t>GrantSearch</w:t>
                          </w:r>
                        </w:hyperlink>
                      </w:p>
                      <w:p w:rsidR="00EA6481" w:rsidRDefault="00EA6481" w:rsidP="00E967E4">
                        <w:pPr>
                          <w:jc w:val="center"/>
                        </w:pPr>
                      </w:p>
                    </w:tc>
                    <w:tc>
                      <w:tcPr>
                        <w:tcW w:w="5279" w:type="dxa"/>
                      </w:tcPr>
                      <w:p w:rsidR="00EA6481" w:rsidRDefault="000E57D7" w:rsidP="00E967E4">
                        <w:hyperlink r:id="rId42"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0E57D7" w:rsidP="00E967E4">
                        <w:hyperlink r:id="rId43"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0E57D7" w:rsidP="00C809EA">
                        <w:pPr>
                          <w:rPr>
                            <w:b/>
                          </w:rPr>
                        </w:pPr>
                        <w:hyperlink r:id="rId44"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0E57D7" w:rsidP="00E967E4">
                        <w:hyperlink r:id="rId45" w:history="1">
                          <w:r w:rsidR="00EA6481" w:rsidRPr="00E967E4">
                            <w:rPr>
                              <w:rStyle w:val="Hyperlink"/>
                              <w:b/>
                              <w:bCs/>
                            </w:rPr>
                            <w:t>Grants.gov</w:t>
                          </w:r>
                        </w:hyperlink>
                      </w:p>
                      <w:p w:rsidR="00EA6481" w:rsidRDefault="00EA6481" w:rsidP="00E967E4">
                        <w:pPr>
                          <w:jc w:val="center"/>
                        </w:pPr>
                      </w:p>
                    </w:tc>
                    <w:tc>
                      <w:tcPr>
                        <w:tcW w:w="5279" w:type="dxa"/>
                      </w:tcPr>
                      <w:p w:rsidR="00EA6481" w:rsidRDefault="000E57D7" w:rsidP="00E967E4">
                        <w:hyperlink r:id="rId46"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0E57D7" w:rsidP="006B5111">
                        <w:pPr>
                          <w:jc w:val="center"/>
                        </w:pPr>
                        <w:hyperlink r:id="rId47"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0E57D7">
      <w:pPr>
        <w:rPr>
          <w:rFonts w:asciiTheme="minorHAnsi" w:hAnsiTheme="minorHAnsi"/>
        </w:rPr>
      </w:pPr>
    </w:p>
    <w:sectPr w:rsidR="00F04A19" w:rsidRPr="00740927" w:rsidSect="0072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A6481"/>
    <w:rsid w:val="00021F73"/>
    <w:rsid w:val="00087874"/>
    <w:rsid w:val="000D2825"/>
    <w:rsid w:val="000D6872"/>
    <w:rsid w:val="000E57D7"/>
    <w:rsid w:val="00113B07"/>
    <w:rsid w:val="00132A81"/>
    <w:rsid w:val="00171CA5"/>
    <w:rsid w:val="001859E2"/>
    <w:rsid w:val="00190FF6"/>
    <w:rsid w:val="00191386"/>
    <w:rsid w:val="00194E74"/>
    <w:rsid w:val="001B6021"/>
    <w:rsid w:val="001D393F"/>
    <w:rsid w:val="001F3515"/>
    <w:rsid w:val="001F5234"/>
    <w:rsid w:val="002559CE"/>
    <w:rsid w:val="002B10CC"/>
    <w:rsid w:val="002B5445"/>
    <w:rsid w:val="002D4CEE"/>
    <w:rsid w:val="002D6F17"/>
    <w:rsid w:val="002E16FF"/>
    <w:rsid w:val="00301AA4"/>
    <w:rsid w:val="00364BFB"/>
    <w:rsid w:val="003750A5"/>
    <w:rsid w:val="00396AEB"/>
    <w:rsid w:val="00397340"/>
    <w:rsid w:val="003B34C0"/>
    <w:rsid w:val="003C611A"/>
    <w:rsid w:val="003E3818"/>
    <w:rsid w:val="004370C5"/>
    <w:rsid w:val="0044414F"/>
    <w:rsid w:val="004716B9"/>
    <w:rsid w:val="00472280"/>
    <w:rsid w:val="004810B3"/>
    <w:rsid w:val="00481F2C"/>
    <w:rsid w:val="00496E2A"/>
    <w:rsid w:val="004A4143"/>
    <w:rsid w:val="004A61A3"/>
    <w:rsid w:val="004D79F1"/>
    <w:rsid w:val="004E4B80"/>
    <w:rsid w:val="005162FF"/>
    <w:rsid w:val="0055235C"/>
    <w:rsid w:val="00580CE3"/>
    <w:rsid w:val="0059609E"/>
    <w:rsid w:val="005A5C31"/>
    <w:rsid w:val="005B6F94"/>
    <w:rsid w:val="005D2E15"/>
    <w:rsid w:val="005F34F9"/>
    <w:rsid w:val="0060168D"/>
    <w:rsid w:val="00610873"/>
    <w:rsid w:val="0061305B"/>
    <w:rsid w:val="00634475"/>
    <w:rsid w:val="00644A57"/>
    <w:rsid w:val="006539C0"/>
    <w:rsid w:val="00671628"/>
    <w:rsid w:val="00680FA1"/>
    <w:rsid w:val="006B52D8"/>
    <w:rsid w:val="006D69C1"/>
    <w:rsid w:val="006E6D00"/>
    <w:rsid w:val="006F775F"/>
    <w:rsid w:val="007025BF"/>
    <w:rsid w:val="00740927"/>
    <w:rsid w:val="00784B80"/>
    <w:rsid w:val="007872B5"/>
    <w:rsid w:val="00792B94"/>
    <w:rsid w:val="007C6419"/>
    <w:rsid w:val="007D3AC9"/>
    <w:rsid w:val="007F0A3B"/>
    <w:rsid w:val="00807266"/>
    <w:rsid w:val="00854D98"/>
    <w:rsid w:val="00862B53"/>
    <w:rsid w:val="0087314F"/>
    <w:rsid w:val="00883CB3"/>
    <w:rsid w:val="00885BFC"/>
    <w:rsid w:val="008F57CD"/>
    <w:rsid w:val="0091200D"/>
    <w:rsid w:val="00977427"/>
    <w:rsid w:val="0099061F"/>
    <w:rsid w:val="009B1E81"/>
    <w:rsid w:val="009B38FE"/>
    <w:rsid w:val="00A20702"/>
    <w:rsid w:val="00A408EB"/>
    <w:rsid w:val="00A71FFF"/>
    <w:rsid w:val="00A92365"/>
    <w:rsid w:val="00AB134F"/>
    <w:rsid w:val="00AB2A06"/>
    <w:rsid w:val="00AD1436"/>
    <w:rsid w:val="00AD7048"/>
    <w:rsid w:val="00AF2110"/>
    <w:rsid w:val="00AF2A63"/>
    <w:rsid w:val="00B040F3"/>
    <w:rsid w:val="00B17D4F"/>
    <w:rsid w:val="00B23F08"/>
    <w:rsid w:val="00B266FF"/>
    <w:rsid w:val="00B45B1D"/>
    <w:rsid w:val="00B524DD"/>
    <w:rsid w:val="00B66538"/>
    <w:rsid w:val="00B847BA"/>
    <w:rsid w:val="00BB7A16"/>
    <w:rsid w:val="00BC0CF2"/>
    <w:rsid w:val="00BE6FF4"/>
    <w:rsid w:val="00C00DC6"/>
    <w:rsid w:val="00C0274A"/>
    <w:rsid w:val="00C04964"/>
    <w:rsid w:val="00C21FC2"/>
    <w:rsid w:val="00C42DF2"/>
    <w:rsid w:val="00C435E1"/>
    <w:rsid w:val="00C677FA"/>
    <w:rsid w:val="00CA7DFE"/>
    <w:rsid w:val="00D22118"/>
    <w:rsid w:val="00D3428F"/>
    <w:rsid w:val="00D50F11"/>
    <w:rsid w:val="00D5300A"/>
    <w:rsid w:val="00D61896"/>
    <w:rsid w:val="00D65650"/>
    <w:rsid w:val="00D974E2"/>
    <w:rsid w:val="00DC0AB7"/>
    <w:rsid w:val="00DC1981"/>
    <w:rsid w:val="00DC64D0"/>
    <w:rsid w:val="00DF57E7"/>
    <w:rsid w:val="00E530FF"/>
    <w:rsid w:val="00E66FCF"/>
    <w:rsid w:val="00EA158D"/>
    <w:rsid w:val="00EA6481"/>
    <w:rsid w:val="00EC087F"/>
    <w:rsid w:val="00EF6C4D"/>
    <w:rsid w:val="00F07302"/>
    <w:rsid w:val="00F323B4"/>
    <w:rsid w:val="00F33399"/>
    <w:rsid w:val="00F52815"/>
    <w:rsid w:val="00F53F9D"/>
    <w:rsid w:val="00F57482"/>
    <w:rsid w:val="00F62856"/>
    <w:rsid w:val="00F94C7E"/>
    <w:rsid w:val="00FB3A07"/>
    <w:rsid w:val="00FC180E"/>
    <w:rsid w:val="00FC6A72"/>
    <w:rsid w:val="00FC7023"/>
    <w:rsid w:val="00FD7687"/>
    <w:rsid w:val="00F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545682350">
      <w:bodyDiv w:val="1"/>
      <w:marLeft w:val="0"/>
      <w:marRight w:val="0"/>
      <w:marTop w:val="0"/>
      <w:marBottom w:val="0"/>
      <w:divBdr>
        <w:top w:val="none" w:sz="0" w:space="0" w:color="auto"/>
        <w:left w:val="none" w:sz="0" w:space="0" w:color="auto"/>
        <w:bottom w:val="none" w:sz="0" w:space="0" w:color="auto"/>
        <w:right w:val="none" w:sz="0" w:space="0" w:color="auto"/>
      </w:divBdr>
    </w:div>
    <w:div w:id="562562149">
      <w:bodyDiv w:val="1"/>
      <w:marLeft w:val="0"/>
      <w:marRight w:val="0"/>
      <w:marTop w:val="0"/>
      <w:marBottom w:val="0"/>
      <w:divBdr>
        <w:top w:val="none" w:sz="0" w:space="0" w:color="auto"/>
        <w:left w:val="none" w:sz="0" w:space="0" w:color="auto"/>
        <w:bottom w:val="none" w:sz="0" w:space="0" w:color="auto"/>
        <w:right w:val="none" w:sz="0" w:space="0" w:color="auto"/>
      </w:divBdr>
    </w:div>
    <w:div w:id="579365550">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7754375">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84504925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149009914">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266303490">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liant.com/survey/FA0DBAAD3-144F-2090-6CD2/" TargetMode="External"/><Relationship Id="rId18" Type="http://schemas.openxmlformats.org/officeDocument/2006/relationships/hyperlink" Target="http://www.wpunj.edu/osp/preparing-proposals.dot" TargetMode="External"/><Relationship Id="rId26" Type="http://schemas.openxmlformats.org/officeDocument/2006/relationships/hyperlink" Target="http://www.magnetmail1.net/link.cfm?r=1272232034&amp;sid=28432270&amp;m=3151458&amp;u=AASCU&amp;j=15905628&amp;s=http://www.grants.gov/view-opportunity.html?oppId=249039" TargetMode="External"/><Relationship Id="rId39" Type="http://schemas.openxmlformats.org/officeDocument/2006/relationships/hyperlink" Target="http://grants.nih.gov/grants/guide/pa-files/PA-14-038.html" TargetMode="External"/><Relationship Id="rId3" Type="http://schemas.microsoft.com/office/2007/relationships/stylesWithEffects" Target="stylesWithEffects.xml"/><Relationship Id="rId21" Type="http://schemas.openxmlformats.org/officeDocument/2006/relationships/hyperlink" Target="http://www.wpunj.edu/osp/funding-opportunities.dot" TargetMode="External"/><Relationship Id="rId34" Type="http://schemas.openxmlformats.org/officeDocument/2006/relationships/hyperlink" Target="http://www.grants.gov/web/grants/view-opportunity.html?oppId=249161" TargetMode="External"/><Relationship Id="rId42" Type="http://schemas.openxmlformats.org/officeDocument/2006/relationships/hyperlink" Target="http://www.aascu.org/grc/" TargetMode="External"/><Relationship Id="rId47" Type="http://schemas.openxmlformats.org/officeDocument/2006/relationships/hyperlink" Target="http://www.wpunj.edu/osp" TargetMode="External"/><Relationship Id="rId7" Type="http://schemas.openxmlformats.org/officeDocument/2006/relationships/hyperlink" Target="mailto:grants@wpunj.edu" TargetMode="External"/><Relationship Id="rId12" Type="http://schemas.openxmlformats.org/officeDocument/2006/relationships/hyperlink" Target="http://www.wpunj.edu/osp/" TargetMode="External"/><Relationship Id="rId17" Type="http://schemas.openxmlformats.org/officeDocument/2006/relationships/hyperlink" Target="http://www.wpunj.edu/osp/irb/index.dot" TargetMode="External"/><Relationship Id="rId25" Type="http://schemas.openxmlformats.org/officeDocument/2006/relationships/hyperlink" Target="http://www.magnetmail1.net/link.cfm?r=1272232034&amp;sid=28432269&amp;m=3151458&amp;u=AASCU&amp;j=15905628&amp;s=http://www2.epa.gov/education/environmental-education-ee-grants" TargetMode="External"/><Relationship Id="rId33" Type="http://schemas.openxmlformats.org/officeDocument/2006/relationships/hyperlink" Target="http://grants.nih.gov/grants/guide/pa-files/PA-14-038.html" TargetMode="External"/><Relationship Id="rId38" Type="http://schemas.openxmlformats.org/officeDocument/2006/relationships/hyperlink" Target="http://www.grants.gov/web/grants/view-opportunity.html?oppId=82033" TargetMode="External"/><Relationship Id="rId46" Type="http://schemas.openxmlformats.org/officeDocument/2006/relationships/hyperlink" Target="http://www.wpunj.edu/osp/funding-opportunities/index.dot" TargetMode="External"/><Relationship Id="rId2" Type="http://schemas.openxmlformats.org/officeDocument/2006/relationships/styles" Target="styles.xml"/><Relationship Id="rId16" Type="http://schemas.openxmlformats.org/officeDocument/2006/relationships/hyperlink" Target="http://www.wpunj.edu/osp/workshops.dot" TargetMode="External"/><Relationship Id="rId20" Type="http://schemas.openxmlformats.org/officeDocument/2006/relationships/hyperlink" Target="http://www.wpunj.edu/osp/recent-awards.dot" TargetMode="External"/><Relationship Id="rId29" Type="http://schemas.openxmlformats.org/officeDocument/2006/relationships/hyperlink" Target="http://grants.nih.gov/grants/guide/pa-files/PA-11-180.html" TargetMode="External"/><Relationship Id="rId41" Type="http://schemas.openxmlformats.org/officeDocument/2006/relationships/hyperlink" Target="http://www.aascu.org/gsmodul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rants@wpunj.edu" TargetMode="External"/><Relationship Id="rId24" Type="http://schemas.openxmlformats.org/officeDocument/2006/relationships/hyperlink" Target="http://www.doleta.gov/ycc/eta_default.cfm" TargetMode="External"/><Relationship Id="rId32" Type="http://schemas.openxmlformats.org/officeDocument/2006/relationships/hyperlink" Target="http://www.grants.gov/view-opportunity.html?oppId=248755" TargetMode="External"/><Relationship Id="rId37" Type="http://schemas.openxmlformats.org/officeDocument/2006/relationships/hyperlink" Target="http://grants.nih.gov/grants/guide/pa-files/PA-11-180.html" TargetMode="External"/><Relationship Id="rId40" Type="http://schemas.openxmlformats.org/officeDocument/2006/relationships/hyperlink" Target="http://www.grants.gov/web/grants/view-opportunity.html?oppId=249161" TargetMode="External"/><Relationship Id="rId45" Type="http://schemas.openxmlformats.org/officeDocument/2006/relationships/hyperlink" Target="http://www.grants.gov/" TargetMode="External"/><Relationship Id="rId5" Type="http://schemas.openxmlformats.org/officeDocument/2006/relationships/webSettings" Target="webSettings.xml"/><Relationship Id="rId15" Type="http://schemas.openxmlformats.org/officeDocument/2006/relationships/hyperlink" Target="http://www.empliant.com/survey/FA0A35639-144F-2090-6C28/" TargetMode="External"/><Relationship Id="rId23" Type="http://schemas.openxmlformats.org/officeDocument/2006/relationships/hyperlink" Target="http://www.nsf.gov/funding/pgm_summ.jsp?pims_id=5467" TargetMode="External"/><Relationship Id="rId28" Type="http://schemas.openxmlformats.org/officeDocument/2006/relationships/hyperlink" Target="http://www.magnetmail1.net/link.cfm?r=1272232034&amp;sid=28432283&amp;m=3151458&amp;u=AASCU&amp;j=15905628&amp;s=http://www.grants.gov/view-opportunity.html?oppId=249044" TargetMode="External"/><Relationship Id="rId36" Type="http://schemas.openxmlformats.org/officeDocument/2006/relationships/hyperlink" Target="http://www.magnetmail1.net/link.cfm?r=1272232034&amp;sid=28432283&amp;m=3151458&amp;u=AASCU&amp;j=15905628&amp;s=http://www.grants.gov/view-opportunity.html?oppId=249044" TargetMode="External"/><Relationship Id="rId49" Type="http://schemas.openxmlformats.org/officeDocument/2006/relationships/theme" Target="theme/theme1.xml"/><Relationship Id="rId10" Type="http://schemas.openxmlformats.org/officeDocument/2006/relationships/hyperlink" Target="http://www.wpunj.edu/osp/index.dot" TargetMode="External"/><Relationship Id="rId19" Type="http://schemas.openxmlformats.org/officeDocument/2006/relationships/hyperlink" Target="http://www.wpunj.edu/osp/narratives-and-budgets.dot" TargetMode="External"/><Relationship Id="rId31" Type="http://schemas.openxmlformats.org/officeDocument/2006/relationships/hyperlink" Target="https://grants3.hrsa.gov/2010/Web2External/Interface/FundingCycle/ExternalView.aspx?&amp;fCycleID=7cb5d7f9-c6e9-4b09-9b14-517aecb6a0f1&amp;txtAction=View+Details&amp;submitAction=Go&amp;ViewMode=EU" TargetMode="External"/><Relationship Id="rId44" Type="http://schemas.openxmlformats.org/officeDocument/2006/relationships/hyperlink" Target="http://www.wpunj.edu/osp/dui/index.do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empliant.com/survey/FA1067F7F-144F-2090-6C89/" TargetMode="External"/><Relationship Id="rId22" Type="http://schemas.openxmlformats.org/officeDocument/2006/relationships/hyperlink" Target="http://www.nsf.gov/funding/pgm_summ.jsp?pims_id=5467" TargetMode="External"/><Relationship Id="rId27" Type="http://schemas.openxmlformats.org/officeDocument/2006/relationships/hyperlink" Target="http://www.magnetmail1.net/link.cfm?r=1272232034&amp;sid=28432282&amp;m=3151458&amp;u=AASCU&amp;j=15905628&amp;s=http://grants.nih.gov/grants/guide/pa-files/PAS-14-020.html" TargetMode="External"/><Relationship Id="rId30" Type="http://schemas.openxmlformats.org/officeDocument/2006/relationships/hyperlink" Target="http://www.grants.gov/web/grants/view-opportunity.html?oppId=82033" TargetMode="External"/><Relationship Id="rId35" Type="http://schemas.openxmlformats.org/officeDocument/2006/relationships/hyperlink" Target="http://www.magnetmail1.net/link.cfm?r=1272232034&amp;sid=28432282&amp;m=3151458&amp;u=AASCU&amp;j=15905628&amp;s=http://grants.nih.gov/grants/guide/pa-files/PAS-14-020.html" TargetMode="External"/><Relationship Id="rId43" Type="http://schemas.openxmlformats.org/officeDocument/2006/relationships/hyperlink" Target="http://ezproxy.wpunj.edu:2048/login?url=http://pivot.cos.com" TargetMode="External"/><Relationship Id="rId48" Type="http://schemas.openxmlformats.org/officeDocument/2006/relationships/fontTable" Target="fontTable.xml"/><Relationship Id="rId8" Type="http://schemas.openxmlformats.org/officeDocument/2006/relationships/hyperlink" Target="http://www.wpunj.edu/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6E80-3CE8-4DCE-B569-2DF47773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66</cp:revision>
  <dcterms:created xsi:type="dcterms:W3CDTF">2013-12-10T16:33:00Z</dcterms:created>
  <dcterms:modified xsi:type="dcterms:W3CDTF">2013-12-13T21:42:00Z</dcterms:modified>
</cp:coreProperties>
</file>