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8B" w:rsidRPr="00B1758B" w:rsidRDefault="00B1758B" w:rsidP="00B1758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1758B">
        <w:rPr>
          <w:rFonts w:ascii="Garamond" w:eastAsia="Times New Roman" w:hAnsi="Garamond" w:cs="Times New Roman"/>
          <w:b/>
          <w:bCs/>
          <w:color w:val="000000"/>
          <w:sz w:val="27"/>
          <w:szCs w:val="27"/>
        </w:rPr>
        <w:t>College of Science and Health</w:t>
      </w:r>
      <w:r w:rsidRPr="00B1758B">
        <w:rPr>
          <w:rFonts w:ascii="Times New Roman" w:eastAsia="Times New Roman" w:hAnsi="Times New Roman" w:cs="Times New Roman"/>
          <w:b/>
          <w:bCs/>
          <w:color w:val="000000"/>
          <w:sz w:val="27"/>
          <w:szCs w:val="27"/>
        </w:rPr>
        <w:br/>
        <w:t>Department of Mathematics</w:t>
      </w:r>
      <w:r w:rsidRPr="00B1758B">
        <w:rPr>
          <w:rFonts w:ascii="Times New Roman" w:eastAsia="Times New Roman" w:hAnsi="Times New Roman" w:cs="Times New Roman"/>
          <w:b/>
          <w:bCs/>
          <w:color w:val="000000"/>
          <w:sz w:val="27"/>
          <w:szCs w:val="27"/>
        </w:rPr>
        <w:br/>
      </w:r>
      <w:r w:rsidRPr="00B1758B">
        <w:rPr>
          <w:rFonts w:ascii="Times New Roman" w:eastAsia="Times New Roman" w:hAnsi="Times New Roman" w:cs="Times New Roman"/>
          <w:b/>
          <w:bCs/>
          <w:color w:val="000000"/>
          <w:sz w:val="24"/>
          <w:szCs w:val="24"/>
        </w:rPr>
        <w:t>Course Outline</w:t>
      </w:r>
    </w:p>
    <w:tbl>
      <w:tblPr>
        <w:tblW w:w="10410" w:type="dxa"/>
        <w:tblCellSpacing w:w="0" w:type="dxa"/>
        <w:tblCellMar>
          <w:top w:w="15" w:type="dxa"/>
          <w:left w:w="15" w:type="dxa"/>
          <w:bottom w:w="15" w:type="dxa"/>
          <w:right w:w="15" w:type="dxa"/>
        </w:tblCellMar>
        <w:tblLook w:val="04A0"/>
      </w:tblPr>
      <w:tblGrid>
        <w:gridCol w:w="330"/>
        <w:gridCol w:w="10080"/>
      </w:tblGrid>
      <w:tr w:rsidR="00B1758B" w:rsidRPr="00B1758B" w:rsidTr="00B1758B">
        <w:trPr>
          <w:trHeight w:val="28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1.</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Title of Course, Course Number and Credits</w:t>
            </w:r>
            <w:r w:rsidRPr="00B1758B">
              <w:rPr>
                <w:rFonts w:ascii="Times New Roman" w:eastAsia="Times New Roman" w:hAnsi="Times New Roman" w:cs="Times New Roman"/>
                <w:color w:val="000000"/>
                <w:sz w:val="24"/>
                <w:szCs w:val="24"/>
              </w:rPr>
              <w:t>:</w:t>
            </w:r>
            <w:r w:rsidRPr="00B1758B">
              <w:rPr>
                <w:rFonts w:ascii="Times New Roman" w:eastAsia="Times New Roman" w:hAnsi="Times New Roman" w:cs="Times New Roman"/>
                <w:color w:val="000000"/>
                <w:sz w:val="24"/>
                <w:szCs w:val="24"/>
              </w:rPr>
              <w:br/>
              <w:t>Elementary Function Theory - MAEN 506</w:t>
            </w:r>
            <w:r>
              <w:rPr>
                <w:rFonts w:ascii="Times New Roman" w:eastAsia="Times New Roman" w:hAnsi="Times New Roman" w:cs="Times New Roman"/>
                <w:color w:val="000000"/>
                <w:sz w:val="24"/>
                <w:szCs w:val="24"/>
              </w:rPr>
              <w:t>0</w:t>
            </w:r>
            <w:r w:rsidRPr="00B1758B">
              <w:rPr>
                <w:rFonts w:ascii="Times New Roman" w:eastAsia="Times New Roman" w:hAnsi="Times New Roman" w:cs="Times New Roman"/>
                <w:color w:val="000000"/>
                <w:sz w:val="24"/>
                <w:szCs w:val="24"/>
              </w:rPr>
              <w:t>,  3 credits</w:t>
            </w:r>
            <w:r w:rsidRPr="00B1758B">
              <w:rPr>
                <w:rFonts w:ascii="Times New Roman" w:eastAsia="Times New Roman" w:hAnsi="Times New Roman" w:cs="Times New Roman"/>
                <w:color w:val="000000"/>
                <w:sz w:val="24"/>
                <w:szCs w:val="24"/>
              </w:rPr>
              <w:br/>
            </w:r>
          </w:p>
        </w:tc>
      </w:tr>
      <w:tr w:rsidR="00B1758B" w:rsidRPr="00B1758B" w:rsidTr="00B1758B">
        <w:trPr>
          <w:trHeight w:val="31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2.</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Description of Course</w:t>
            </w:r>
            <w:proofErr w:type="gramStart"/>
            <w:r w:rsidRPr="00B1758B">
              <w:rPr>
                <w:rFonts w:ascii="Times New Roman" w:eastAsia="Times New Roman" w:hAnsi="Times New Roman" w:cs="Times New Roman"/>
                <w:b/>
                <w:bCs/>
                <w:color w:val="000000"/>
                <w:sz w:val="24"/>
                <w:szCs w:val="24"/>
              </w:rPr>
              <w:t>:</w:t>
            </w:r>
            <w:proofErr w:type="gramEnd"/>
            <w:r w:rsidRPr="00B1758B">
              <w:rPr>
                <w:rFonts w:ascii="Times New Roman" w:eastAsia="Times New Roman" w:hAnsi="Times New Roman" w:cs="Times New Roman"/>
                <w:b/>
                <w:bCs/>
                <w:color w:val="000000"/>
                <w:sz w:val="24"/>
                <w:szCs w:val="24"/>
              </w:rPr>
              <w:br/>
            </w:r>
            <w:r w:rsidRPr="00B1758B">
              <w:rPr>
                <w:rFonts w:ascii="Times New Roman" w:eastAsia="Times New Roman" w:hAnsi="Times New Roman" w:cs="Times New Roman"/>
                <w:color w:val="000000"/>
                <w:sz w:val="24"/>
                <w:szCs w:val="24"/>
              </w:rPr>
              <w:t>This course presents an introduction to the theory of algebraic, exponential, logarithmic, and trigonometric functions with graphical analysis and applications. A graphing calculator is used throughout the course to explore the relationships between functions. Other technology used will be a computer algebra system with related Internet plug-ins so that interactive web learning working with functions can be explored.</w:t>
            </w:r>
            <w:r w:rsidRPr="00B1758B">
              <w:rPr>
                <w:rFonts w:ascii="Times New Roman" w:eastAsia="Times New Roman" w:hAnsi="Times New Roman" w:cs="Times New Roman"/>
                <w:color w:val="000000"/>
                <w:sz w:val="24"/>
                <w:szCs w:val="24"/>
              </w:rPr>
              <w:br/>
            </w:r>
          </w:p>
        </w:tc>
      </w:tr>
      <w:tr w:rsidR="00B1758B" w:rsidRPr="00B1758B" w:rsidTr="00B1758B">
        <w:trPr>
          <w:trHeight w:val="37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3.</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Course Prerequisites</w:t>
            </w:r>
            <w:proofErr w:type="gramStart"/>
            <w:r w:rsidRPr="00B1758B">
              <w:rPr>
                <w:rFonts w:ascii="Times New Roman" w:eastAsia="Times New Roman" w:hAnsi="Times New Roman" w:cs="Times New Roman"/>
                <w:color w:val="000000"/>
                <w:sz w:val="24"/>
                <w:szCs w:val="24"/>
              </w:rPr>
              <w:t>:</w:t>
            </w:r>
            <w:proofErr w:type="gramEnd"/>
            <w:r w:rsidRPr="00B1758B">
              <w:rPr>
                <w:rFonts w:ascii="Times New Roman" w:eastAsia="Times New Roman" w:hAnsi="Times New Roman" w:cs="Times New Roman"/>
                <w:color w:val="000000"/>
                <w:sz w:val="24"/>
                <w:szCs w:val="24"/>
              </w:rPr>
              <w:br/>
              <w:t xml:space="preserve">The prerequisites for this course </w:t>
            </w:r>
            <w:r w:rsidRPr="00B1758B">
              <w:rPr>
                <w:rFonts w:ascii="Times New Roman" w:eastAsia="Times New Roman" w:hAnsi="Times New Roman" w:cs="Times New Roman"/>
                <w:color w:val="000000" w:themeColor="text1"/>
                <w:sz w:val="24"/>
                <w:szCs w:val="24"/>
              </w:rPr>
              <w:t xml:space="preserve">are </w:t>
            </w:r>
            <w:hyperlink r:id="rId5" w:history="1">
              <w:r w:rsidRPr="00B1758B">
                <w:rPr>
                  <w:rFonts w:ascii="Times New Roman" w:eastAsia="Times New Roman" w:hAnsi="Times New Roman" w:cs="Times New Roman"/>
                  <w:color w:val="000000" w:themeColor="text1"/>
                  <w:sz w:val="24"/>
                  <w:szCs w:val="24"/>
                  <w:u w:val="single"/>
                </w:rPr>
                <w:t>MAEN 502</w:t>
              </w:r>
            </w:hyperlink>
            <w:r w:rsidRPr="00B1758B">
              <w:rPr>
                <w:rFonts w:ascii="Times New Roman" w:eastAsia="Times New Roman" w:hAnsi="Times New Roman" w:cs="Times New Roman"/>
                <w:color w:val="000000" w:themeColor="text1"/>
                <w:sz w:val="24"/>
                <w:szCs w:val="24"/>
              </w:rPr>
              <w:t>0</w:t>
            </w:r>
            <w:r w:rsidRPr="00B1758B">
              <w:rPr>
                <w:rFonts w:ascii="Times New Roman" w:eastAsia="Times New Roman" w:hAnsi="Times New Roman" w:cs="Times New Roman"/>
                <w:color w:val="000000"/>
                <w:sz w:val="24"/>
                <w:szCs w:val="24"/>
              </w:rPr>
              <w:t xml:space="preserve"> or knowledge of algebra.</w:t>
            </w:r>
          </w:p>
        </w:tc>
      </w:tr>
      <w:tr w:rsidR="00B1758B" w:rsidRPr="00B1758B" w:rsidTr="00B1758B">
        <w:trPr>
          <w:trHeight w:val="600"/>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4.</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Course Objectives:</w:t>
            </w:r>
            <w:r w:rsidRPr="00B1758B">
              <w:rPr>
                <w:rFonts w:ascii="Times New Roman" w:eastAsia="Times New Roman" w:hAnsi="Times New Roman" w:cs="Times New Roman"/>
                <w:color w:val="000000"/>
                <w:sz w:val="24"/>
                <w:szCs w:val="24"/>
              </w:rPr>
              <w:t xml:space="preserve">  </w:t>
            </w:r>
          </w:p>
          <w:p w:rsidR="00B1758B" w:rsidRPr="00B1758B" w:rsidRDefault="00B1758B" w:rsidP="00B1758B">
            <w:pPr>
              <w:numPr>
                <w:ilvl w:val="0"/>
                <w:numId w:val="1"/>
              </w:numPr>
              <w:spacing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To understand the theory of elementary functions (algebraic, exponential, logarithmic, and trigonometric functions) </w:t>
            </w:r>
          </w:p>
          <w:p w:rsidR="00B1758B" w:rsidRPr="00B1758B" w:rsidRDefault="00B1758B" w:rsidP="00B1758B">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To understand the theory of graphing functions and their zeros </w:t>
            </w:r>
          </w:p>
          <w:p w:rsidR="00B1758B" w:rsidRPr="00B1758B" w:rsidRDefault="00B1758B" w:rsidP="00B1758B">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To gain the ability to visualize the graph of a given function and to understand how the graph changes as the parameters of the function vary </w:t>
            </w:r>
          </w:p>
          <w:p w:rsidR="00B1758B" w:rsidRPr="00B1758B" w:rsidRDefault="00B1758B" w:rsidP="00B1758B">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To develop relationships between the types of functions with Order of Growth </w:t>
            </w:r>
          </w:p>
          <w:p w:rsidR="00B1758B" w:rsidRPr="00B1758B" w:rsidRDefault="00B1758B" w:rsidP="00B1758B">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To explore the effect of technology in the learning and doing of mathematics </w:t>
            </w:r>
          </w:p>
          <w:p w:rsidR="00B1758B" w:rsidRPr="00B1758B" w:rsidRDefault="00B1758B" w:rsidP="00B1758B">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To develop a portfolio of modern functions theory applications.</w:t>
            </w:r>
          </w:p>
        </w:tc>
      </w:tr>
      <w:tr w:rsidR="00B1758B" w:rsidRPr="00B1758B" w:rsidTr="00B1758B">
        <w:trPr>
          <w:trHeight w:val="600"/>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5.</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b/>
                <w:bCs/>
                <w:color w:val="000000"/>
                <w:sz w:val="24"/>
                <w:szCs w:val="24"/>
              </w:rPr>
            </w:pPr>
            <w:r w:rsidRPr="00B1758B">
              <w:rPr>
                <w:rFonts w:ascii="Times New Roman" w:eastAsia="Times New Roman" w:hAnsi="Times New Roman" w:cs="Times New Roman"/>
                <w:b/>
                <w:bCs/>
                <w:color w:val="000000"/>
                <w:sz w:val="24"/>
                <w:szCs w:val="24"/>
              </w:rPr>
              <w:t>Student Learning Outcomes. Students will be able to:</w:t>
            </w:r>
          </w:p>
          <w:p w:rsidR="00B1758B" w:rsidRPr="00B1758B" w:rsidRDefault="00B1758B" w:rsidP="00B1758B">
            <w:pPr>
              <w:numPr>
                <w:ilvl w:val="0"/>
                <w:numId w:val="2"/>
              </w:numPr>
              <w:spacing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Understand the properties of the elementary functions </w:t>
            </w:r>
          </w:p>
          <w:p w:rsidR="00B1758B" w:rsidRPr="00B1758B" w:rsidRDefault="00B1758B" w:rsidP="00B1758B">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Apply the elementary functions to a variety of "real-world" problems </w:t>
            </w:r>
          </w:p>
          <w:p w:rsidR="00B1758B" w:rsidRPr="00B1758B" w:rsidRDefault="00B1758B" w:rsidP="00B1758B">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Understand and analyze different function models for the same problem </w:t>
            </w:r>
          </w:p>
          <w:p w:rsidR="00B1758B" w:rsidRPr="00B1758B" w:rsidRDefault="00B1758B" w:rsidP="00B1758B">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Use a variety of technology to obtain real-world data, such as graphing calculators, CBL's, probes, etc. </w:t>
            </w:r>
          </w:p>
          <w:p w:rsidR="00B1758B" w:rsidRPr="00B1758B" w:rsidRDefault="00B1758B" w:rsidP="00B1758B">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Work with different Internet capabilities such as Live-Math plug-in, JavaScript applications, applets, movies to explore learning with the Internet </w:t>
            </w:r>
          </w:p>
        </w:tc>
      </w:tr>
      <w:tr w:rsidR="00B1758B" w:rsidRPr="00B1758B" w:rsidTr="00B1758B">
        <w:trPr>
          <w:trHeight w:val="390"/>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6.</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Topical Outline of the Course Content</w:t>
            </w:r>
            <w:r w:rsidRPr="00B1758B">
              <w:rPr>
                <w:rFonts w:ascii="Times New Roman" w:eastAsia="Times New Roman" w:hAnsi="Times New Roman" w:cs="Times New Roman"/>
                <w:color w:val="000000"/>
                <w:sz w:val="24"/>
                <w:szCs w:val="24"/>
              </w:rPr>
              <w:t>:</w:t>
            </w:r>
          </w:p>
          <w:tbl>
            <w:tblPr>
              <w:tblW w:w="5000" w:type="pct"/>
              <w:tblCellSpacing w:w="0" w:type="dxa"/>
              <w:tblCellMar>
                <w:left w:w="0" w:type="dxa"/>
                <w:right w:w="0" w:type="dxa"/>
              </w:tblCellMar>
              <w:tblLook w:val="04A0"/>
            </w:tblPr>
            <w:tblGrid>
              <w:gridCol w:w="225"/>
              <w:gridCol w:w="9825"/>
            </w:tblGrid>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Definition of Functions, Function Notation, Domain and Range</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26"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Types of Functions, Concavity, Increasing, and Decreasing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27"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Linear Functions and their graphs with Applications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28"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Theory of Polynomial Functions and their Zeros and Graphs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29"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Rational and Algebraic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0"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Exponential and Logarithmic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1"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Transformations of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2"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Trigonometric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3"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Composite, Inverse, and Combination Functions</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Symbol" w:eastAsia="Times New Roman" w:hAnsi="Symbol" w:cs="Times New Roman"/>
                      <w:color w:val="000000"/>
                      <w:sz w:val="24"/>
                      <w:szCs w:val="24"/>
                    </w:rPr>
                  </w:pPr>
                  <w:r w:rsidRPr="00B1758B">
                    <w:rPr>
                      <w:rFonts w:ascii="Symbol" w:eastAsia="Times New Roman" w:hAnsi="Symbol" w:cs="Times New Roman"/>
                      <w:color w:val="000000"/>
                      <w:sz w:val="24"/>
                      <w:szCs w:val="24"/>
                    </w:rPr>
                    <w:pict>
                      <v:shape id="_x0000_i1034"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Symbol" w:eastAsia="Times New Roman" w:hAnsi="Symbol" w:cs="Times New Roman"/>
                      <w:color w:val="000000"/>
                      <w:sz w:val="24"/>
                      <w:szCs w:val="24"/>
                    </w:rPr>
                  </w:pPr>
                  <w:r w:rsidRPr="00B1758B">
                    <w:rPr>
                      <w:rFonts w:ascii="Times New Roman" w:eastAsia="Times New Roman" w:hAnsi="Times New Roman" w:cs="Times New Roman"/>
                      <w:color w:val="000000"/>
                      <w:sz w:val="24"/>
                      <w:szCs w:val="24"/>
                    </w:rPr>
                    <w:t> </w:t>
                  </w:r>
                </w:p>
              </w:tc>
            </w:tr>
          </w:tbl>
          <w:p w:rsidR="00B1758B" w:rsidRPr="00B1758B" w:rsidRDefault="00B1758B" w:rsidP="00B1758B">
            <w:pPr>
              <w:spacing w:after="0" w:line="240" w:lineRule="auto"/>
              <w:rPr>
                <w:rFonts w:ascii="Times New Roman" w:eastAsia="Times New Roman" w:hAnsi="Times New Roman" w:cs="Times New Roman"/>
                <w:color w:val="000000"/>
                <w:sz w:val="24"/>
                <w:szCs w:val="24"/>
              </w:rPr>
            </w:pPr>
          </w:p>
        </w:tc>
      </w:tr>
      <w:tr w:rsidR="00B1758B" w:rsidRPr="00B1758B" w:rsidTr="00B1758B">
        <w:trPr>
          <w:trHeight w:val="600"/>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lastRenderedPageBreak/>
              <w:t>7.</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Guidelines/Suggestions for Teaching Methods and Student Learning Activities</w:t>
            </w:r>
            <w:proofErr w:type="gramStart"/>
            <w:r w:rsidRPr="00B1758B">
              <w:rPr>
                <w:rFonts w:ascii="Times New Roman" w:eastAsia="Times New Roman" w:hAnsi="Times New Roman" w:cs="Times New Roman"/>
                <w:color w:val="000000"/>
                <w:sz w:val="24"/>
                <w:szCs w:val="24"/>
              </w:rPr>
              <w:t>:</w:t>
            </w:r>
            <w:proofErr w:type="gramEnd"/>
            <w:r w:rsidRPr="00B1758B">
              <w:rPr>
                <w:rFonts w:ascii="Times New Roman" w:eastAsia="Times New Roman" w:hAnsi="Times New Roman" w:cs="Times New Roman"/>
                <w:color w:val="000000"/>
                <w:sz w:val="24"/>
                <w:szCs w:val="24"/>
              </w:rPr>
              <w:br/>
              <w:t>Course is being offered on-line. Each week includes readings, exercises, discussion postings and some interactive internet on-line learning opportunity</w:t>
            </w:r>
          </w:p>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w:t>
            </w:r>
          </w:p>
        </w:tc>
      </w:tr>
      <w:tr w:rsidR="00B1758B" w:rsidRPr="00B1758B" w:rsidTr="00B1758B">
        <w:trPr>
          <w:trHeight w:val="31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8.</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Guidelines/Suggestions for Methods of Student Assessment (Student Learning Outcomes)</w:t>
            </w:r>
            <w:r w:rsidRPr="00B1758B">
              <w:rPr>
                <w:rFonts w:ascii="Times New Roman" w:eastAsia="Times New Roman" w:hAnsi="Times New Roman" w:cs="Times New Roman"/>
                <w:b/>
                <w:bCs/>
                <w:color w:val="000000"/>
                <w:sz w:val="24"/>
                <w:szCs w:val="24"/>
              </w:rPr>
              <w:br/>
            </w:r>
            <w:r w:rsidRPr="00B1758B">
              <w:rPr>
                <w:rFonts w:ascii="Times New Roman" w:eastAsia="Times New Roman" w:hAnsi="Times New Roman" w:cs="Times New Roman"/>
                <w:color w:val="000000"/>
                <w:sz w:val="24"/>
                <w:szCs w:val="24"/>
              </w:rPr>
              <w:t>Students will have:</w:t>
            </w:r>
          </w:p>
          <w:p w:rsidR="00B1758B" w:rsidRPr="00B1758B" w:rsidRDefault="00B1758B" w:rsidP="00B1758B">
            <w:pPr>
              <w:numPr>
                <w:ilvl w:val="0"/>
                <w:numId w:val="3"/>
              </w:numPr>
              <w:spacing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Fourteen (14) Weekly homework assignments demonstrating knowledge of function theory (60%) </w:t>
            </w:r>
          </w:p>
          <w:p w:rsidR="00B1758B" w:rsidRPr="00B1758B" w:rsidRDefault="00B1758B" w:rsidP="00B1758B">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Project showing the development of an application appropriate to your classroom using an aspect of function theory along with the technology used (and commands) and necessary worksheets OR a 3 page paper on one of the reform developments in teaching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(10%)</w:t>
            </w:r>
            <w:r w:rsidRPr="00B1758B">
              <w:rPr>
                <w:rFonts w:ascii="Times New Roman" w:eastAsia="Times New Roman" w:hAnsi="Times New Roman" w:cs="Times New Roman"/>
                <w:color w:val="000000"/>
                <w:sz w:val="24"/>
                <w:szCs w:val="24"/>
              </w:rPr>
              <w:br/>
              <w:t>For the paper, visit The North Carolina School of Science and Mathematics - Teaching Contemporary Mathematics Conference</w:t>
            </w:r>
            <w:proofErr w:type="gramStart"/>
            <w:r w:rsidRPr="00B1758B">
              <w:rPr>
                <w:rFonts w:ascii="Times New Roman" w:eastAsia="Times New Roman" w:hAnsi="Times New Roman" w:cs="Times New Roman"/>
                <w:color w:val="000000"/>
                <w:sz w:val="24"/>
                <w:szCs w:val="24"/>
              </w:rPr>
              <w:t>,</w:t>
            </w:r>
            <w:proofErr w:type="gramEnd"/>
            <w:r w:rsidRPr="00B1758B">
              <w:rPr>
                <w:rFonts w:ascii="Times New Roman" w:eastAsia="Times New Roman" w:hAnsi="Times New Roman" w:cs="Times New Roman"/>
                <w:color w:val="000000"/>
                <w:sz w:val="24"/>
                <w:szCs w:val="24"/>
              </w:rPr>
              <w:br/>
              <w:t>(http://phywww1.ncssm.edu/green/math/tcmconf/talks2000.html)</w:t>
            </w:r>
            <w:r w:rsidRPr="00B1758B">
              <w:rPr>
                <w:rFonts w:ascii="Times New Roman" w:eastAsia="Times New Roman" w:hAnsi="Times New Roman" w:cs="Times New Roman"/>
                <w:color w:val="000000"/>
                <w:sz w:val="24"/>
                <w:szCs w:val="24"/>
              </w:rPr>
              <w:br/>
              <w:t>or NCTM's Principles and Standards for School Mathematics - with examples, lesson plans and resources linked to the standards.</w:t>
            </w:r>
            <w:r w:rsidRPr="00B1758B">
              <w:rPr>
                <w:rFonts w:ascii="Times New Roman" w:eastAsia="Times New Roman" w:hAnsi="Times New Roman" w:cs="Times New Roman"/>
                <w:color w:val="000000"/>
                <w:sz w:val="24"/>
                <w:szCs w:val="24"/>
              </w:rPr>
              <w:br/>
              <w:t>(http://standards.nctm.org/)</w:t>
            </w:r>
            <w:r w:rsidRPr="00B1758B">
              <w:rPr>
                <w:rFonts w:ascii="Times New Roman" w:eastAsia="Times New Roman" w:hAnsi="Times New Roman" w:cs="Times New Roman"/>
                <w:color w:val="000000"/>
                <w:sz w:val="24"/>
                <w:szCs w:val="24"/>
              </w:rPr>
              <w:br/>
              <w:t xml:space="preserve">or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Reform at the University of Michigan</w:t>
            </w:r>
            <w:r w:rsidRPr="00B1758B">
              <w:rPr>
                <w:rFonts w:ascii="Times New Roman" w:eastAsia="Times New Roman" w:hAnsi="Times New Roman" w:cs="Times New Roman"/>
                <w:color w:val="000000"/>
                <w:sz w:val="24"/>
                <w:szCs w:val="24"/>
              </w:rPr>
              <w:br/>
              <w:t>(http://www.math.lsa.umich.edu/programs/calculus/pcpost93.html)</w:t>
            </w:r>
            <w:r w:rsidRPr="00B1758B">
              <w:rPr>
                <w:rFonts w:ascii="Times New Roman" w:eastAsia="Times New Roman" w:hAnsi="Times New Roman" w:cs="Times New Roman"/>
                <w:color w:val="000000"/>
                <w:sz w:val="24"/>
                <w:szCs w:val="24"/>
              </w:rPr>
              <w:br/>
              <w:t xml:space="preserve">or Functioning in the Real World: A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Experience: The Math Modeling/</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Reform Project</w:t>
            </w:r>
            <w:r w:rsidRPr="00B1758B">
              <w:rPr>
                <w:rFonts w:ascii="Times New Roman" w:eastAsia="Times New Roman" w:hAnsi="Times New Roman" w:cs="Times New Roman"/>
                <w:color w:val="000000"/>
                <w:sz w:val="24"/>
                <w:szCs w:val="24"/>
              </w:rPr>
              <w:br/>
              <w:t xml:space="preserve">(http://www.amatyc.org/Proceedings/Atlanta23/Gordon/HTML/Gordon.html) </w:t>
            </w:r>
          </w:p>
          <w:p w:rsidR="00B1758B" w:rsidRPr="00B1758B" w:rsidRDefault="00B1758B" w:rsidP="00B1758B">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A minimum of 8 Postings to the discussion forum (10%) </w:t>
            </w:r>
          </w:p>
          <w:p w:rsidR="00B1758B" w:rsidRPr="00B1758B" w:rsidRDefault="00B1758B" w:rsidP="00B1758B">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Final Exam (20%)</w:t>
            </w:r>
          </w:p>
        </w:tc>
      </w:tr>
      <w:tr w:rsidR="00B1758B" w:rsidRPr="00B1758B" w:rsidTr="00B1758B">
        <w:trPr>
          <w:trHeight w:val="31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9.</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Suggested Reading, Texts and Objects of Study</w:t>
            </w:r>
            <w:proofErr w:type="gramStart"/>
            <w:r w:rsidRPr="00B1758B">
              <w:rPr>
                <w:rFonts w:ascii="Times New Roman" w:eastAsia="Times New Roman" w:hAnsi="Times New Roman" w:cs="Times New Roman"/>
                <w:color w:val="000000"/>
                <w:sz w:val="24"/>
                <w:szCs w:val="24"/>
              </w:rPr>
              <w:t>:</w:t>
            </w:r>
            <w:proofErr w:type="gramEnd"/>
            <w:r w:rsidRPr="00B1758B">
              <w:rPr>
                <w:rFonts w:ascii="Times New Roman" w:eastAsia="Times New Roman" w:hAnsi="Times New Roman" w:cs="Times New Roman"/>
                <w:color w:val="000000"/>
                <w:sz w:val="24"/>
                <w:szCs w:val="24"/>
              </w:rPr>
              <w:br/>
            </w:r>
            <w:proofErr w:type="spellStart"/>
            <w:r w:rsidRPr="00B1758B">
              <w:rPr>
                <w:rFonts w:ascii="Times New Roman" w:eastAsia="Times New Roman" w:hAnsi="Times New Roman" w:cs="Times New Roman"/>
                <w:color w:val="000000"/>
                <w:sz w:val="24"/>
                <w:szCs w:val="24"/>
              </w:rPr>
              <w:t>Connally</w:t>
            </w:r>
            <w:proofErr w:type="spellEnd"/>
            <w:r w:rsidRPr="00B1758B">
              <w:rPr>
                <w:rFonts w:ascii="Times New Roman" w:eastAsia="Times New Roman" w:hAnsi="Times New Roman" w:cs="Times New Roman"/>
                <w:color w:val="000000"/>
                <w:sz w:val="24"/>
                <w:szCs w:val="24"/>
              </w:rPr>
              <w:t>, Hughes-</w:t>
            </w:r>
            <w:proofErr w:type="spellStart"/>
            <w:r w:rsidRPr="00B1758B">
              <w:rPr>
                <w:rFonts w:ascii="Times New Roman" w:eastAsia="Times New Roman" w:hAnsi="Times New Roman" w:cs="Times New Roman"/>
                <w:color w:val="000000"/>
                <w:sz w:val="24"/>
                <w:szCs w:val="24"/>
              </w:rPr>
              <w:t>Hallett</w:t>
            </w:r>
            <w:proofErr w:type="spellEnd"/>
            <w:r w:rsidRPr="00B1758B">
              <w:rPr>
                <w:rFonts w:ascii="Times New Roman" w:eastAsia="Times New Roman" w:hAnsi="Times New Roman" w:cs="Times New Roman"/>
                <w:color w:val="000000"/>
                <w:sz w:val="24"/>
                <w:szCs w:val="24"/>
              </w:rPr>
              <w:t>, Gleason, et al., Functions Modeling Change. New York, John Wiley &amp; Sons, Inc. 2000, ISBN# 0-471-17084-4</w:t>
            </w:r>
          </w:p>
        </w:tc>
      </w:tr>
      <w:tr w:rsidR="00B1758B" w:rsidRPr="00B1758B" w:rsidTr="00B1758B">
        <w:trPr>
          <w:trHeight w:val="315"/>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10.</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Bibliography of Supportive Texts and Other Materials</w:t>
            </w:r>
            <w:r w:rsidRPr="00B1758B">
              <w:rPr>
                <w:rFonts w:ascii="Times New Roman" w:eastAsia="Times New Roman" w:hAnsi="Times New Roman" w:cs="Times New Roman"/>
                <w:color w:val="000000"/>
                <w:sz w:val="24"/>
                <w:szCs w:val="24"/>
              </w:rPr>
              <w:t>:</w:t>
            </w:r>
          </w:p>
          <w:p w:rsidR="00B1758B" w:rsidRPr="00B1758B" w:rsidRDefault="00B1758B" w:rsidP="00B1758B">
            <w:pPr>
              <w:spacing w:before="100" w:beforeAutospacing="1" w:after="100" w:afterAutospacing="1" w:line="240" w:lineRule="auto"/>
              <w:rPr>
                <w:rFonts w:ascii="Times New Roman" w:eastAsia="Times New Roman" w:hAnsi="Times New Roman" w:cs="Times New Roman"/>
                <w:b/>
                <w:bCs/>
                <w:color w:val="000000"/>
                <w:sz w:val="24"/>
                <w:szCs w:val="24"/>
              </w:rPr>
            </w:pPr>
            <w:r w:rsidRPr="00B1758B">
              <w:rPr>
                <w:rFonts w:ascii="Times New Roman" w:eastAsia="Times New Roman" w:hAnsi="Times New Roman" w:cs="Times New Roman"/>
                <w:b/>
                <w:bCs/>
                <w:color w:val="000000"/>
                <w:sz w:val="24"/>
                <w:szCs w:val="24"/>
              </w:rPr>
              <w:t>Websites</w:t>
            </w:r>
          </w:p>
          <w:tbl>
            <w:tblPr>
              <w:tblW w:w="5000" w:type="pct"/>
              <w:tblCellSpacing w:w="0" w:type="dxa"/>
              <w:tblCellMar>
                <w:left w:w="0" w:type="dxa"/>
                <w:right w:w="0" w:type="dxa"/>
              </w:tblCellMar>
              <w:tblLook w:val="04A0"/>
            </w:tblPr>
            <w:tblGrid>
              <w:gridCol w:w="225"/>
              <w:gridCol w:w="9825"/>
            </w:tblGrid>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5"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Calculators - several types for different purposes</w:t>
                  </w:r>
                  <w:r w:rsidRPr="00B1758B">
                    <w:rPr>
                      <w:rFonts w:ascii="Times New Roman" w:eastAsia="Times New Roman" w:hAnsi="Times New Roman" w:cs="Times New Roman"/>
                      <w:color w:val="000000"/>
                      <w:sz w:val="24"/>
                      <w:szCs w:val="24"/>
                    </w:rPr>
                    <w:br/>
                    <w:t>(http://www.math.com)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6"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Several Graphing Plotters are available for you on the Internet: Here are some of them</w:t>
                  </w:r>
                  <w:proofErr w:type="gramStart"/>
                  <w:r w:rsidRPr="00B1758B">
                    <w:rPr>
                      <w:rFonts w:ascii="Times New Roman" w:eastAsia="Times New Roman" w:hAnsi="Times New Roman" w:cs="Times New Roman"/>
                      <w:color w:val="000000"/>
                      <w:sz w:val="24"/>
                      <w:szCs w:val="24"/>
                    </w:rPr>
                    <w:t>:</w:t>
                  </w:r>
                  <w:proofErr w:type="gramEnd"/>
                  <w:r w:rsidRPr="00B1758B">
                    <w:rPr>
                      <w:rFonts w:ascii="Times New Roman" w:eastAsia="Times New Roman" w:hAnsi="Times New Roman" w:cs="Times New Roman"/>
                      <w:color w:val="000000"/>
                      <w:sz w:val="24"/>
                      <w:szCs w:val="24"/>
                    </w:rPr>
                    <w:br/>
                    <w:t>Graphing Plotter</w:t>
                  </w:r>
                  <w:r w:rsidRPr="00B1758B">
                    <w:rPr>
                      <w:rFonts w:ascii="Times New Roman" w:eastAsia="Times New Roman" w:hAnsi="Times New Roman" w:cs="Times New Roman"/>
                      <w:color w:val="000000"/>
                      <w:sz w:val="24"/>
                      <w:szCs w:val="24"/>
                    </w:rPr>
                    <w:br/>
                    <w:t>(http://www.garrink.com/java/graph/)</w:t>
                  </w:r>
                  <w:r w:rsidRPr="00B1758B">
                    <w:rPr>
                      <w:rFonts w:ascii="Times New Roman" w:eastAsia="Times New Roman" w:hAnsi="Times New Roman" w:cs="Times New Roman"/>
                      <w:color w:val="000000"/>
                      <w:sz w:val="24"/>
                      <w:szCs w:val="24"/>
                    </w:rPr>
                    <w:br/>
                    <w:t>Java Applets for graphing!!!</w:t>
                  </w:r>
                  <w:r w:rsidRPr="00B1758B">
                    <w:rPr>
                      <w:rFonts w:ascii="Times New Roman" w:eastAsia="Times New Roman" w:hAnsi="Times New Roman" w:cs="Times New Roman"/>
                      <w:color w:val="000000"/>
                      <w:sz w:val="24"/>
                      <w:szCs w:val="24"/>
                    </w:rPr>
                    <w:br/>
                    <w:t>(http://math.hws.edu/javamath/)</w:t>
                  </w:r>
                  <w:r w:rsidRPr="00B1758B">
                    <w:rPr>
                      <w:rFonts w:ascii="Times New Roman" w:eastAsia="Times New Roman" w:hAnsi="Times New Roman" w:cs="Times New Roman"/>
                      <w:color w:val="000000"/>
                      <w:sz w:val="24"/>
                      <w:szCs w:val="24"/>
                    </w:rPr>
                    <w:br/>
                  </w:r>
                  <w:r w:rsidRPr="00B1758B">
                    <w:rPr>
                      <w:rFonts w:ascii="Times New Roman" w:eastAsia="Times New Roman" w:hAnsi="Times New Roman" w:cs="Times New Roman"/>
                      <w:color w:val="000000"/>
                      <w:sz w:val="24"/>
                      <w:szCs w:val="24"/>
                    </w:rPr>
                    <w:lastRenderedPageBreak/>
                    <w:t>Two Graphing Plotters</w:t>
                  </w:r>
                  <w:r w:rsidRPr="00B1758B">
                    <w:rPr>
                      <w:rFonts w:ascii="Times New Roman" w:eastAsia="Times New Roman" w:hAnsi="Times New Roman" w:cs="Times New Roman"/>
                      <w:color w:val="000000"/>
                      <w:sz w:val="24"/>
                      <w:szCs w:val="24"/>
                    </w:rPr>
                    <w:br/>
                    <w:t>(http://www.math.com)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7"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Calculus@Internet's</w:t>
                  </w:r>
                  <w:proofErr w:type="spellEnd"/>
                  <w:r w:rsidRPr="00B1758B">
                    <w:rPr>
                      <w:rFonts w:ascii="Times New Roman" w:eastAsia="Times New Roman" w:hAnsi="Times New Roman" w:cs="Times New Roman"/>
                      <w:color w:val="000000"/>
                      <w:sz w:val="24"/>
                      <w:szCs w:val="24"/>
                    </w:rPr>
                    <w:t xml:space="preserve">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site - links, examples, history, practice area, "How do you?" section and "Ask Someone" section</w:t>
                  </w:r>
                  <w:r w:rsidRPr="00B1758B">
                    <w:rPr>
                      <w:rFonts w:ascii="Times New Roman" w:eastAsia="Times New Roman" w:hAnsi="Times New Roman" w:cs="Times New Roman"/>
                      <w:color w:val="000000"/>
                      <w:sz w:val="24"/>
                      <w:szCs w:val="24"/>
                    </w:rPr>
                    <w:br/>
                    <w:t>(http://www.calculus.net/ci2/search/?request=category&amp;code=11&amp;off=0&amp;tag=9200438920658)</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8"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Functioning in the Real World: A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Experience: The Math Modeling/</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Reform Project</w:t>
                  </w:r>
                  <w:r w:rsidRPr="00B1758B">
                    <w:rPr>
                      <w:rFonts w:ascii="Times New Roman" w:eastAsia="Times New Roman" w:hAnsi="Times New Roman" w:cs="Times New Roman"/>
                      <w:color w:val="000000"/>
                      <w:sz w:val="24"/>
                      <w:szCs w:val="24"/>
                    </w:rPr>
                    <w:br/>
                    <w:t>(http://www.amatyc.org/Proceedings/Atlanta23/Gordon/HTML/Gordon.html)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39"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Homeworkhelp.com List of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Topics</w:t>
                  </w:r>
                  <w:r w:rsidRPr="00B1758B">
                    <w:rPr>
                      <w:rFonts w:ascii="Times New Roman" w:eastAsia="Times New Roman" w:hAnsi="Times New Roman" w:cs="Times New Roman"/>
                      <w:color w:val="000000"/>
                      <w:sz w:val="24"/>
                      <w:szCs w:val="24"/>
                    </w:rPr>
                    <w:br/>
                    <w:t>(http://www.homeworkhelp.com/homeworkhelp/freemember/text/math/high/htopic02.htm)</w:t>
                  </w:r>
                  <w:r w:rsidRPr="00B1758B">
                    <w:rPr>
                      <w:rFonts w:ascii="Times New Roman" w:eastAsia="Times New Roman" w:hAnsi="Times New Roman" w:cs="Times New Roman"/>
                      <w:color w:val="000000"/>
                      <w:sz w:val="24"/>
                      <w:szCs w:val="24"/>
                    </w:rPr>
                    <w:br/>
                    <w:t>with their Complete Site on Trigonometry</w:t>
                  </w:r>
                  <w:r w:rsidRPr="00B1758B">
                    <w:rPr>
                      <w:rFonts w:ascii="Times New Roman" w:eastAsia="Times New Roman" w:hAnsi="Times New Roman" w:cs="Times New Roman"/>
                      <w:color w:val="000000"/>
                      <w:sz w:val="24"/>
                      <w:szCs w:val="24"/>
                    </w:rPr>
                    <w:br/>
                    <w:t>(http://www.homeworkhelp.com/homeworkhelp/freemember/text/math/high/htopic05.htm)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0"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MathView</w:t>
                  </w:r>
                  <w:proofErr w:type="spellEnd"/>
                  <w:r w:rsidRPr="00B1758B">
                    <w:rPr>
                      <w:rFonts w:ascii="Times New Roman" w:eastAsia="Times New Roman" w:hAnsi="Times New Roman" w:cs="Times New Roman"/>
                      <w:color w:val="000000"/>
                      <w:sz w:val="24"/>
                      <w:szCs w:val="24"/>
                    </w:rPr>
                    <w:t xml:space="preserve"> Notebooks on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and Trigonometry</w:t>
                  </w:r>
                  <w:r w:rsidRPr="00B1758B">
                    <w:rPr>
                      <w:rFonts w:ascii="Times New Roman" w:eastAsia="Times New Roman" w:hAnsi="Times New Roman" w:cs="Times New Roman"/>
                      <w:color w:val="000000"/>
                      <w:sz w:val="24"/>
                      <w:szCs w:val="24"/>
                    </w:rPr>
                    <w:br/>
                    <w:t>(http://www.lee.edu/~shamby/mvlist.html)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1"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NCTM's Principles and Standards for School Mathematics - with examples, lesson plans and resources linked to the standards.</w:t>
                  </w:r>
                  <w:r w:rsidRPr="00B1758B">
                    <w:rPr>
                      <w:rFonts w:ascii="Times New Roman" w:eastAsia="Times New Roman" w:hAnsi="Times New Roman" w:cs="Times New Roman"/>
                      <w:color w:val="000000"/>
                      <w:sz w:val="24"/>
                      <w:szCs w:val="24"/>
                    </w:rPr>
                    <w:br/>
                    <w:t>(http://standards.nctm.org/)</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2"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NCTM's Electronic Examples - Internet activities matched with the standards at all grade levels</w:t>
                  </w:r>
                  <w:r w:rsidRPr="00B1758B">
                    <w:rPr>
                      <w:rFonts w:ascii="Times New Roman" w:eastAsia="Times New Roman" w:hAnsi="Times New Roman" w:cs="Times New Roman"/>
                      <w:color w:val="000000"/>
                      <w:sz w:val="24"/>
                      <w:szCs w:val="24"/>
                    </w:rPr>
                    <w:br/>
                    <w:t>(http://standards.nctm.org/document/eexamples/index.htm)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3"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The North Carolina School of Science and Mathematics - Teaching Contemporary Mathematics Conference, February 11 &amp; 12, 2000, Links to Talks, Papers</w:t>
                  </w:r>
                  <w:r w:rsidRPr="00B1758B">
                    <w:rPr>
                      <w:rFonts w:ascii="Times New Roman" w:eastAsia="Times New Roman" w:hAnsi="Times New Roman" w:cs="Times New Roman"/>
                      <w:color w:val="000000"/>
                      <w:sz w:val="24"/>
                      <w:szCs w:val="24"/>
                    </w:rPr>
                    <w:br/>
                    <w:t>(http://phywww1.ncssm.edu/green/math/tcmconf/talks2000.html)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4"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Algebra TI-83 Tutorial Website - provides instruction on the specific capabilities of the TI-83 or TI-83 Plus that are necessary for a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and/or Algebra Class</w:t>
                  </w:r>
                  <w:r w:rsidRPr="00B1758B">
                    <w:rPr>
                      <w:rFonts w:ascii="Times New Roman" w:eastAsia="Times New Roman" w:hAnsi="Times New Roman" w:cs="Times New Roman"/>
                      <w:color w:val="000000"/>
                      <w:sz w:val="24"/>
                      <w:szCs w:val="24"/>
                    </w:rPr>
                    <w:br/>
                    <w:t>(http://www.titutorials.com/algb83/mainpage.htm)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5"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Course, Spring 2000</w:t>
                  </w:r>
                  <w:r w:rsidRPr="00B1758B">
                    <w:rPr>
                      <w:rFonts w:ascii="Times New Roman" w:eastAsia="Times New Roman" w:hAnsi="Times New Roman" w:cs="Times New Roman"/>
                      <w:color w:val="000000"/>
                      <w:sz w:val="24"/>
                      <w:szCs w:val="24"/>
                    </w:rPr>
                    <w:br/>
                    <w:t>(http://www.mathnstuff.com/math/one27/precalc.htm)</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6"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list of Web Resources</w:t>
                  </w:r>
                  <w:r w:rsidRPr="00B1758B">
                    <w:rPr>
                      <w:rFonts w:ascii="Times New Roman" w:eastAsia="Times New Roman" w:hAnsi="Times New Roman" w:cs="Times New Roman"/>
                      <w:color w:val="000000"/>
                      <w:sz w:val="24"/>
                      <w:szCs w:val="24"/>
                    </w:rPr>
                    <w:br/>
                    <w:t>(http://www.langara.bc.ca/mathstats/resource/onWeb/rawlist.htm#PrecalcCourses) </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7"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w:t>
                  </w:r>
                  <w:proofErr w:type="spellStart"/>
                  <w:r w:rsidRPr="00B1758B">
                    <w:rPr>
                      <w:rFonts w:ascii="Times New Roman" w:eastAsia="Times New Roman" w:hAnsi="Times New Roman" w:cs="Times New Roman"/>
                      <w:color w:val="000000"/>
                      <w:sz w:val="24"/>
                      <w:szCs w:val="24"/>
                    </w:rPr>
                    <w:t>ListServ</w:t>
                  </w:r>
                  <w:proofErr w:type="spellEnd"/>
                  <w:r w:rsidRPr="00B1758B">
                    <w:rPr>
                      <w:rFonts w:ascii="Times New Roman" w:eastAsia="Times New Roman" w:hAnsi="Times New Roman" w:cs="Times New Roman"/>
                      <w:color w:val="000000"/>
                      <w:sz w:val="24"/>
                      <w:szCs w:val="24"/>
                    </w:rPr>
                    <w:t xml:space="preserve"> - for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teachers on all aspects of teaching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ranging from student concerns like math anxiety and test anxiety, to student skills like study skills and problem solving, to the use of technology such as graphing calculators and curriculum and assessment concerns.</w:t>
                  </w:r>
                  <w:r w:rsidRPr="00B1758B">
                    <w:rPr>
                      <w:rFonts w:ascii="Times New Roman" w:eastAsia="Times New Roman" w:hAnsi="Times New Roman" w:cs="Times New Roman"/>
                      <w:color w:val="000000"/>
                      <w:sz w:val="24"/>
                      <w:szCs w:val="24"/>
                    </w:rPr>
                    <w:br/>
                    <w:t>(http://www.snunit.k12.il/list78.html)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8"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Reform at the University of Michigan</w:t>
                  </w:r>
                  <w:r w:rsidRPr="00B1758B">
                    <w:rPr>
                      <w:rFonts w:ascii="Times New Roman" w:eastAsia="Times New Roman" w:hAnsi="Times New Roman" w:cs="Times New Roman"/>
                      <w:color w:val="000000"/>
                      <w:sz w:val="24"/>
                      <w:szCs w:val="24"/>
                    </w:rPr>
                    <w:br/>
                    <w:t>(http://www.math.lsa.umich.edu/programs/calculus/pcpost93.html)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49"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Web Site - with downloadable materials in WORD 2000 format</w:t>
                  </w:r>
                  <w:r w:rsidRPr="00B1758B">
                    <w:rPr>
                      <w:rFonts w:ascii="Times New Roman" w:eastAsia="Times New Roman" w:hAnsi="Times New Roman" w:cs="Times New Roman"/>
                      <w:color w:val="000000"/>
                      <w:sz w:val="24"/>
                      <w:szCs w:val="24"/>
                    </w:rPr>
                    <w:br/>
                    <w:t>(http://www.humboldt.edu/~dlj1/PreCalculus/PreCalculus.html)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0"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w:t>
                  </w:r>
                  <w:proofErr w:type="spellStart"/>
                  <w:r w:rsidRPr="00B1758B">
                    <w:rPr>
                      <w:rFonts w:ascii="Times New Roman" w:eastAsia="Times New Roman" w:hAnsi="Times New Roman" w:cs="Times New Roman"/>
                      <w:color w:val="000000"/>
                      <w:sz w:val="24"/>
                      <w:szCs w:val="24"/>
                    </w:rPr>
                    <w:t>WebLet</w:t>
                  </w:r>
                  <w:proofErr w:type="spellEnd"/>
                  <w:r w:rsidRPr="00B1758B">
                    <w:rPr>
                      <w:rFonts w:ascii="Times New Roman" w:eastAsia="Times New Roman" w:hAnsi="Times New Roman" w:cs="Times New Roman"/>
                      <w:color w:val="000000"/>
                      <w:sz w:val="24"/>
                      <w:szCs w:val="24"/>
                    </w:rPr>
                    <w:br/>
                    <w:t>(http://oscar.ctc.edu/precalc/site_map1.html)</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1"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Web Based Course in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br/>
                    <w:t>(http://www.langara.bc.ca/mathstats/resource/onWeb/Precalculus/index.htm) </w:t>
                  </w:r>
                </w:p>
              </w:tc>
            </w:tr>
          </w:tbl>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w:t>
            </w:r>
          </w:p>
          <w:p w:rsidR="00B1758B" w:rsidRPr="00B1758B" w:rsidRDefault="00B1758B" w:rsidP="00B1758B">
            <w:pPr>
              <w:spacing w:before="100" w:beforeAutospacing="1" w:after="100" w:afterAutospacing="1" w:line="240" w:lineRule="auto"/>
              <w:rPr>
                <w:rFonts w:ascii="Times New Roman" w:eastAsia="Times New Roman" w:hAnsi="Times New Roman" w:cs="Times New Roman"/>
                <w:b/>
                <w:bCs/>
                <w:color w:val="000000"/>
                <w:sz w:val="24"/>
                <w:szCs w:val="24"/>
              </w:rPr>
            </w:pPr>
            <w:r w:rsidRPr="00B1758B">
              <w:rPr>
                <w:rFonts w:ascii="Times New Roman" w:eastAsia="Times New Roman" w:hAnsi="Times New Roman" w:cs="Times New Roman"/>
                <w:b/>
                <w:bCs/>
                <w:color w:val="000000"/>
                <w:sz w:val="24"/>
                <w:szCs w:val="24"/>
              </w:rPr>
              <w:t>Books</w:t>
            </w:r>
          </w:p>
          <w:tbl>
            <w:tblPr>
              <w:tblW w:w="5000" w:type="pct"/>
              <w:tblCellSpacing w:w="0" w:type="dxa"/>
              <w:tblCellMar>
                <w:left w:w="0" w:type="dxa"/>
                <w:right w:w="0" w:type="dxa"/>
              </w:tblCellMar>
              <w:tblLook w:val="04A0"/>
            </w:tblPr>
            <w:tblGrid>
              <w:gridCol w:w="225"/>
              <w:gridCol w:w="9825"/>
            </w:tblGrid>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2"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Barnes, M. Families of Functions, </w:t>
                  </w:r>
                  <w:proofErr w:type="spellStart"/>
                  <w:r w:rsidRPr="00B1758B">
                    <w:rPr>
                      <w:rFonts w:ascii="Times New Roman" w:eastAsia="Times New Roman" w:hAnsi="Times New Roman" w:cs="Times New Roman"/>
                      <w:color w:val="000000"/>
                      <w:sz w:val="24"/>
                      <w:szCs w:val="24"/>
                    </w:rPr>
                    <w:t>Carlton</w:t>
                  </w:r>
                  <w:proofErr w:type="gramStart"/>
                  <w:r w:rsidRPr="00B1758B">
                    <w:rPr>
                      <w:rFonts w:ascii="Times New Roman" w:eastAsia="Times New Roman" w:hAnsi="Times New Roman" w:cs="Times New Roman"/>
                      <w:color w:val="000000"/>
                      <w:sz w:val="24"/>
                      <w:szCs w:val="24"/>
                    </w:rPr>
                    <w:t>,Victoria</w:t>
                  </w:r>
                  <w:proofErr w:type="spellEnd"/>
                  <w:proofErr w:type="gramEnd"/>
                  <w:r w:rsidRPr="00B1758B">
                    <w:rPr>
                      <w:rFonts w:ascii="Times New Roman" w:eastAsia="Times New Roman" w:hAnsi="Times New Roman" w:cs="Times New Roman"/>
                      <w:color w:val="000000"/>
                      <w:sz w:val="24"/>
                      <w:szCs w:val="24"/>
                    </w:rPr>
                    <w:t>, Curriculum Corporation, 1991.</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3"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________, Functions and Modeling. </w:t>
                  </w:r>
                  <w:proofErr w:type="spellStart"/>
                  <w:r w:rsidRPr="00B1758B">
                    <w:rPr>
                      <w:rFonts w:ascii="Times New Roman" w:eastAsia="Times New Roman" w:hAnsi="Times New Roman" w:cs="Times New Roman"/>
                      <w:color w:val="000000"/>
                      <w:sz w:val="24"/>
                      <w:szCs w:val="24"/>
                    </w:rPr>
                    <w:t>Carlton</w:t>
                  </w:r>
                  <w:proofErr w:type="gramStart"/>
                  <w:r w:rsidRPr="00B1758B">
                    <w:rPr>
                      <w:rFonts w:ascii="Times New Roman" w:eastAsia="Times New Roman" w:hAnsi="Times New Roman" w:cs="Times New Roman"/>
                      <w:color w:val="000000"/>
                      <w:sz w:val="24"/>
                      <w:szCs w:val="24"/>
                    </w:rPr>
                    <w:t>,Victoria</w:t>
                  </w:r>
                  <w:proofErr w:type="spellEnd"/>
                  <w:proofErr w:type="gramEnd"/>
                  <w:r w:rsidRPr="00B1758B">
                    <w:rPr>
                      <w:rFonts w:ascii="Times New Roman" w:eastAsia="Times New Roman" w:hAnsi="Times New Roman" w:cs="Times New Roman"/>
                      <w:color w:val="000000"/>
                      <w:sz w:val="24"/>
                      <w:szCs w:val="24"/>
                    </w:rPr>
                    <w:t>, Curriculum Corporation, 1991.</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4"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________, Growth and Decay. </w:t>
                  </w:r>
                  <w:proofErr w:type="spellStart"/>
                  <w:r w:rsidRPr="00B1758B">
                    <w:rPr>
                      <w:rFonts w:ascii="Times New Roman" w:eastAsia="Times New Roman" w:hAnsi="Times New Roman" w:cs="Times New Roman"/>
                      <w:color w:val="000000"/>
                      <w:sz w:val="24"/>
                      <w:szCs w:val="24"/>
                    </w:rPr>
                    <w:t>Carlton</w:t>
                  </w:r>
                  <w:proofErr w:type="gramStart"/>
                  <w:r w:rsidRPr="00B1758B">
                    <w:rPr>
                      <w:rFonts w:ascii="Times New Roman" w:eastAsia="Times New Roman" w:hAnsi="Times New Roman" w:cs="Times New Roman"/>
                      <w:color w:val="000000"/>
                      <w:sz w:val="24"/>
                      <w:szCs w:val="24"/>
                    </w:rPr>
                    <w:t>,Victoria</w:t>
                  </w:r>
                  <w:proofErr w:type="spellEnd"/>
                  <w:proofErr w:type="gramEnd"/>
                  <w:r w:rsidRPr="00B1758B">
                    <w:rPr>
                      <w:rFonts w:ascii="Times New Roman" w:eastAsia="Times New Roman" w:hAnsi="Times New Roman" w:cs="Times New Roman"/>
                      <w:color w:val="000000"/>
                      <w:sz w:val="24"/>
                      <w:szCs w:val="24"/>
                    </w:rPr>
                    <w:t>, Curriculum Corporation, 1993.</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5"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roofErr w:type="spellStart"/>
                  <w:r w:rsidRPr="00B1758B">
                    <w:rPr>
                      <w:rFonts w:ascii="Times New Roman" w:eastAsia="Times New Roman" w:hAnsi="Times New Roman" w:cs="Times New Roman"/>
                      <w:color w:val="000000"/>
                      <w:sz w:val="24"/>
                      <w:szCs w:val="24"/>
                    </w:rPr>
                    <w:t>Egsgard</w:t>
                  </w:r>
                  <w:proofErr w:type="spellEnd"/>
                  <w:r w:rsidRPr="00B1758B">
                    <w:rPr>
                      <w:rFonts w:ascii="Times New Roman" w:eastAsia="Times New Roman" w:hAnsi="Times New Roman" w:cs="Times New Roman"/>
                      <w:color w:val="000000"/>
                      <w:sz w:val="24"/>
                      <w:szCs w:val="24"/>
                    </w:rPr>
                    <w:t xml:space="preserve">, J., G. </w:t>
                  </w:r>
                  <w:proofErr w:type="spellStart"/>
                  <w:r w:rsidRPr="00B1758B">
                    <w:rPr>
                      <w:rFonts w:ascii="Times New Roman" w:eastAsia="Times New Roman" w:hAnsi="Times New Roman" w:cs="Times New Roman"/>
                      <w:color w:val="000000"/>
                      <w:sz w:val="24"/>
                      <w:szCs w:val="24"/>
                    </w:rPr>
                    <w:t>Flewelling</w:t>
                  </w:r>
                  <w:proofErr w:type="spellEnd"/>
                  <w:r w:rsidRPr="00B1758B">
                    <w:rPr>
                      <w:rFonts w:ascii="Times New Roman" w:eastAsia="Times New Roman" w:hAnsi="Times New Roman" w:cs="Times New Roman"/>
                      <w:color w:val="000000"/>
                      <w:sz w:val="24"/>
                      <w:szCs w:val="24"/>
                    </w:rPr>
                    <w:t xml:space="preserve">, C. </w:t>
                  </w:r>
                  <w:proofErr w:type="spellStart"/>
                  <w:r w:rsidRPr="00B1758B">
                    <w:rPr>
                      <w:rFonts w:ascii="Times New Roman" w:eastAsia="Times New Roman" w:hAnsi="Times New Roman" w:cs="Times New Roman"/>
                      <w:color w:val="000000"/>
                      <w:sz w:val="24"/>
                      <w:szCs w:val="24"/>
                    </w:rPr>
                    <w:t>Newall</w:t>
                  </w:r>
                  <w:proofErr w:type="spellEnd"/>
                  <w:r w:rsidRPr="00B1758B">
                    <w:rPr>
                      <w:rFonts w:ascii="Times New Roman" w:eastAsia="Times New Roman" w:hAnsi="Times New Roman" w:cs="Times New Roman"/>
                      <w:color w:val="000000"/>
                      <w:sz w:val="24"/>
                      <w:szCs w:val="24"/>
                    </w:rPr>
                    <w:t xml:space="preserve">, and W. Warburton. Making Connections with Mathematics. Providence, RI, </w:t>
                  </w:r>
                  <w:proofErr w:type="spellStart"/>
                  <w:r w:rsidRPr="00B1758B">
                    <w:rPr>
                      <w:rFonts w:ascii="Times New Roman" w:eastAsia="Times New Roman" w:hAnsi="Times New Roman" w:cs="Times New Roman"/>
                      <w:color w:val="000000"/>
                      <w:sz w:val="24"/>
                      <w:szCs w:val="24"/>
                    </w:rPr>
                    <w:t>Janson</w:t>
                  </w:r>
                  <w:proofErr w:type="spellEnd"/>
                  <w:r w:rsidRPr="00B1758B">
                    <w:rPr>
                      <w:rFonts w:ascii="Times New Roman" w:eastAsia="Times New Roman" w:hAnsi="Times New Roman" w:cs="Times New Roman"/>
                      <w:color w:val="000000"/>
                      <w:sz w:val="24"/>
                      <w:szCs w:val="24"/>
                    </w:rPr>
                    <w:t xml:space="preserve"> Publications, Inc. 1988.</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6"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Fey, J. Y. and M. K. </w:t>
                  </w:r>
                  <w:proofErr w:type="spellStart"/>
                  <w:r w:rsidRPr="00B1758B">
                    <w:rPr>
                      <w:rFonts w:ascii="Times New Roman" w:eastAsia="Times New Roman" w:hAnsi="Times New Roman" w:cs="Times New Roman"/>
                      <w:color w:val="000000"/>
                      <w:sz w:val="24"/>
                      <w:szCs w:val="24"/>
                    </w:rPr>
                    <w:t>Heid</w:t>
                  </w:r>
                  <w:proofErr w:type="spellEnd"/>
                  <w:r w:rsidRPr="00B1758B">
                    <w:rPr>
                      <w:rFonts w:ascii="Times New Roman" w:eastAsia="Times New Roman" w:hAnsi="Times New Roman" w:cs="Times New Roman"/>
                      <w:color w:val="000000"/>
                      <w:sz w:val="24"/>
                      <w:szCs w:val="24"/>
                    </w:rPr>
                    <w:t xml:space="preserve">. Concepts in Algebra: A Technological Approach. Providence, RI, </w:t>
                  </w:r>
                  <w:proofErr w:type="spellStart"/>
                  <w:r w:rsidRPr="00B1758B">
                    <w:rPr>
                      <w:rFonts w:ascii="Times New Roman" w:eastAsia="Times New Roman" w:hAnsi="Times New Roman" w:cs="Times New Roman"/>
                      <w:color w:val="000000"/>
                      <w:sz w:val="24"/>
                      <w:szCs w:val="24"/>
                    </w:rPr>
                    <w:t>Janson</w:t>
                  </w:r>
                  <w:proofErr w:type="spellEnd"/>
                  <w:r w:rsidRPr="00B1758B">
                    <w:rPr>
                      <w:rFonts w:ascii="Times New Roman" w:eastAsia="Times New Roman" w:hAnsi="Times New Roman" w:cs="Times New Roman"/>
                      <w:color w:val="000000"/>
                      <w:sz w:val="24"/>
                      <w:szCs w:val="24"/>
                    </w:rPr>
                    <w:t xml:space="preserve"> Publications, Inc. 1995.</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7"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Larson, R. E., R. P. </w:t>
                  </w:r>
                  <w:proofErr w:type="spellStart"/>
                  <w:r w:rsidRPr="00B1758B">
                    <w:rPr>
                      <w:rFonts w:ascii="Times New Roman" w:eastAsia="Times New Roman" w:hAnsi="Times New Roman" w:cs="Times New Roman"/>
                      <w:color w:val="000000"/>
                      <w:sz w:val="24"/>
                      <w:szCs w:val="24"/>
                    </w:rPr>
                    <w:t>Hostletler</w:t>
                  </w:r>
                  <w:proofErr w:type="spellEnd"/>
                  <w:r w:rsidRPr="00B1758B">
                    <w:rPr>
                      <w:rFonts w:ascii="Times New Roman" w:eastAsia="Times New Roman" w:hAnsi="Times New Roman" w:cs="Times New Roman"/>
                      <w:color w:val="000000"/>
                      <w:sz w:val="24"/>
                      <w:szCs w:val="24"/>
                    </w:rPr>
                    <w:t xml:space="preserve">, &amp; A. V. </w:t>
                  </w:r>
                  <w:proofErr w:type="spellStart"/>
                  <w:r w:rsidRPr="00B1758B">
                    <w:rPr>
                      <w:rFonts w:ascii="Times New Roman" w:eastAsia="Times New Roman" w:hAnsi="Times New Roman" w:cs="Times New Roman"/>
                      <w:color w:val="000000"/>
                      <w:sz w:val="24"/>
                      <w:szCs w:val="24"/>
                    </w:rPr>
                    <w:t>Hodgkins</w:t>
                  </w:r>
                  <w:proofErr w:type="spellEnd"/>
                  <w:r w:rsidRPr="00B1758B">
                    <w:rPr>
                      <w:rFonts w:ascii="Times New Roman" w:eastAsia="Times New Roman" w:hAnsi="Times New Roman" w:cs="Times New Roman"/>
                      <w:color w:val="000000"/>
                      <w:sz w:val="24"/>
                      <w:szCs w:val="24"/>
                    </w:rPr>
                    <w:t>. College Algebra: Concepts and Models. Lexington, MA, D. C. Heath and Company, 1996.</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8"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North Carolina School of Science and Mathematics. Contemporary </w:t>
                  </w:r>
                  <w:proofErr w:type="spellStart"/>
                  <w:r w:rsidRPr="00B1758B">
                    <w:rPr>
                      <w:rFonts w:ascii="Times New Roman" w:eastAsia="Times New Roman" w:hAnsi="Times New Roman" w:cs="Times New Roman"/>
                      <w:color w:val="000000"/>
                      <w:sz w:val="24"/>
                      <w:szCs w:val="24"/>
                    </w:rPr>
                    <w:t>Precalculus</w:t>
                  </w:r>
                  <w:proofErr w:type="spellEnd"/>
                  <w:r w:rsidRPr="00B1758B">
                    <w:rPr>
                      <w:rFonts w:ascii="Times New Roman" w:eastAsia="Times New Roman" w:hAnsi="Times New Roman" w:cs="Times New Roman"/>
                      <w:color w:val="000000"/>
                      <w:sz w:val="24"/>
                      <w:szCs w:val="24"/>
                    </w:rPr>
                    <w:t xml:space="preserve"> through Applications: Functions, Data Analysis, and Matrices. Providence, RI, </w:t>
                  </w:r>
                  <w:proofErr w:type="spellStart"/>
                  <w:r w:rsidRPr="00B1758B">
                    <w:rPr>
                      <w:rFonts w:ascii="Times New Roman" w:eastAsia="Times New Roman" w:hAnsi="Times New Roman" w:cs="Times New Roman"/>
                      <w:color w:val="000000"/>
                      <w:sz w:val="24"/>
                      <w:szCs w:val="24"/>
                    </w:rPr>
                    <w:t>Janson</w:t>
                  </w:r>
                  <w:proofErr w:type="spellEnd"/>
                  <w:r w:rsidRPr="00B1758B">
                    <w:rPr>
                      <w:rFonts w:ascii="Times New Roman" w:eastAsia="Times New Roman" w:hAnsi="Times New Roman" w:cs="Times New Roman"/>
                      <w:color w:val="000000"/>
                      <w:sz w:val="24"/>
                      <w:szCs w:val="24"/>
                    </w:rPr>
                    <w:t xml:space="preserve"> Publications, Inc. 1991.</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59"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xml:space="preserve">Serra, M. </w:t>
                  </w:r>
                  <w:proofErr w:type="spellStart"/>
                  <w:r w:rsidRPr="00B1758B">
                    <w:rPr>
                      <w:rFonts w:ascii="Times New Roman" w:eastAsia="Times New Roman" w:hAnsi="Times New Roman" w:cs="Times New Roman"/>
                      <w:color w:val="000000"/>
                      <w:sz w:val="24"/>
                      <w:szCs w:val="24"/>
                    </w:rPr>
                    <w:t>Mathercise</w:t>
                  </w:r>
                  <w:proofErr w:type="spellEnd"/>
                  <w:r w:rsidRPr="00B1758B">
                    <w:rPr>
                      <w:rFonts w:ascii="Times New Roman" w:eastAsia="Times New Roman" w:hAnsi="Times New Roman" w:cs="Times New Roman"/>
                      <w:color w:val="000000"/>
                      <w:sz w:val="24"/>
                      <w:szCs w:val="24"/>
                    </w:rPr>
                    <w:t>: Classroom Warm-Up Exercises. Berkeley, CA. Key Curriculum Press, 1992</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0"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Solow, A, ed. Preparing for a New Calculus, MAA Conference Proceedings, 1994</w:t>
                  </w:r>
                </w:p>
              </w:tc>
            </w:tr>
          </w:tbl>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w:t>
            </w:r>
          </w:p>
          <w:p w:rsidR="00B1758B" w:rsidRPr="00B1758B" w:rsidRDefault="00B1758B" w:rsidP="00B1758B">
            <w:pPr>
              <w:spacing w:before="100" w:beforeAutospacing="1" w:after="100" w:afterAutospacing="1" w:line="240" w:lineRule="auto"/>
              <w:rPr>
                <w:rFonts w:ascii="Times New Roman" w:eastAsia="Times New Roman" w:hAnsi="Times New Roman" w:cs="Times New Roman"/>
                <w:b/>
                <w:bCs/>
                <w:color w:val="000000"/>
                <w:sz w:val="24"/>
                <w:szCs w:val="24"/>
              </w:rPr>
            </w:pPr>
            <w:r w:rsidRPr="00B1758B">
              <w:rPr>
                <w:rFonts w:ascii="Times New Roman" w:eastAsia="Times New Roman" w:hAnsi="Times New Roman" w:cs="Times New Roman"/>
                <w:b/>
                <w:bCs/>
                <w:color w:val="000000"/>
                <w:sz w:val="24"/>
                <w:szCs w:val="24"/>
              </w:rPr>
              <w:t>Journals</w:t>
            </w:r>
          </w:p>
          <w:tbl>
            <w:tblPr>
              <w:tblW w:w="5000" w:type="pct"/>
              <w:tblCellSpacing w:w="0" w:type="dxa"/>
              <w:tblCellMar>
                <w:left w:w="0" w:type="dxa"/>
                <w:right w:w="0" w:type="dxa"/>
              </w:tblCellMar>
              <w:tblLook w:val="04A0"/>
            </w:tblPr>
            <w:tblGrid>
              <w:gridCol w:w="225"/>
              <w:gridCol w:w="9825"/>
            </w:tblGrid>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1"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Journal of Computers in Mathematics and Science Teaching</w:t>
                  </w:r>
                  <w:r w:rsidRPr="00B1758B">
                    <w:rPr>
                      <w:rFonts w:ascii="Times New Roman" w:eastAsia="Times New Roman" w:hAnsi="Times New Roman" w:cs="Times New Roman"/>
                      <w:color w:val="000000"/>
                      <w:sz w:val="24"/>
                      <w:szCs w:val="24"/>
                    </w:rPr>
                    <w:br/>
                    <w:t>AACE</w:t>
                  </w:r>
                  <w:r w:rsidRPr="00B1758B">
                    <w:rPr>
                      <w:rFonts w:ascii="Times New Roman" w:eastAsia="Times New Roman" w:hAnsi="Times New Roman" w:cs="Times New Roman"/>
                      <w:color w:val="000000"/>
                      <w:sz w:val="24"/>
                      <w:szCs w:val="24"/>
                    </w:rPr>
                    <w:br/>
                    <w:t>PO Box 2966</w:t>
                  </w:r>
                  <w:r w:rsidRPr="00B1758B">
                    <w:rPr>
                      <w:rFonts w:ascii="Times New Roman" w:eastAsia="Times New Roman" w:hAnsi="Times New Roman" w:cs="Times New Roman"/>
                      <w:color w:val="000000"/>
                      <w:sz w:val="24"/>
                      <w:szCs w:val="24"/>
                    </w:rPr>
                    <w:br/>
                    <w:t>Charlottesville, VA 22902</w:t>
                  </w:r>
                  <w:r w:rsidRPr="00B1758B">
                    <w:rPr>
                      <w:rFonts w:ascii="Times New Roman" w:eastAsia="Times New Roman" w:hAnsi="Times New Roman" w:cs="Times New Roman"/>
                      <w:color w:val="000000"/>
                      <w:sz w:val="24"/>
                      <w:szCs w:val="24"/>
                    </w:rPr>
                    <w:br/>
                    <w:t xml:space="preserve">website: </w:t>
                  </w:r>
                  <w:hyperlink r:id="rId6" w:history="1">
                    <w:r w:rsidRPr="00B1758B">
                      <w:rPr>
                        <w:rFonts w:ascii="Times New Roman" w:eastAsia="Times New Roman" w:hAnsi="Times New Roman" w:cs="Times New Roman"/>
                        <w:color w:val="CC3300"/>
                        <w:sz w:val="24"/>
                        <w:szCs w:val="24"/>
                        <w:u w:val="single"/>
                      </w:rPr>
                      <w:t>http://www.aace.org/</w:t>
                    </w:r>
                  </w:hyperlink>
                  <w:r w:rsidRPr="00B1758B">
                    <w:rPr>
                      <w:rFonts w:ascii="Times New Roman" w:eastAsia="Times New Roman" w:hAnsi="Times New Roman" w:cs="Times New Roman"/>
                      <w:color w:val="000000"/>
                      <w:sz w:val="24"/>
                      <w:szCs w:val="24"/>
                    </w:rPr>
                    <w:t> </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2"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NCTM Journals</w:t>
                  </w:r>
                  <w:r w:rsidRPr="00B1758B">
                    <w:rPr>
                      <w:rFonts w:ascii="Times New Roman" w:eastAsia="Times New Roman" w:hAnsi="Times New Roman" w:cs="Times New Roman"/>
                      <w:color w:val="000000"/>
                      <w:sz w:val="24"/>
                      <w:szCs w:val="24"/>
                    </w:rPr>
                    <w:br/>
                    <w:t>NCTM Headquarters</w:t>
                  </w:r>
                  <w:r w:rsidRPr="00B1758B">
                    <w:rPr>
                      <w:rFonts w:ascii="Times New Roman" w:eastAsia="Times New Roman" w:hAnsi="Times New Roman" w:cs="Times New Roman"/>
                      <w:color w:val="000000"/>
                      <w:sz w:val="24"/>
                      <w:szCs w:val="24"/>
                    </w:rPr>
                    <w:br/>
                    <w:t>1906 Association Drive</w:t>
                  </w:r>
                  <w:r w:rsidRPr="00B1758B">
                    <w:rPr>
                      <w:rFonts w:ascii="Times New Roman" w:eastAsia="Times New Roman" w:hAnsi="Times New Roman" w:cs="Times New Roman"/>
                      <w:color w:val="000000"/>
                      <w:sz w:val="24"/>
                      <w:szCs w:val="24"/>
                    </w:rPr>
                    <w:br/>
                    <w:t>Reston, VA 20191-9988</w:t>
                  </w:r>
                  <w:r w:rsidRPr="00B1758B">
                    <w:rPr>
                      <w:rFonts w:ascii="Times New Roman" w:eastAsia="Times New Roman" w:hAnsi="Times New Roman" w:cs="Times New Roman"/>
                      <w:color w:val="000000"/>
                      <w:sz w:val="24"/>
                      <w:szCs w:val="24"/>
                    </w:rPr>
                    <w:br/>
                    <w:t xml:space="preserve">website: </w:t>
                  </w:r>
                  <w:hyperlink r:id="rId7" w:history="1">
                    <w:r w:rsidRPr="00B1758B">
                      <w:rPr>
                        <w:rFonts w:ascii="Times New Roman" w:eastAsia="Times New Roman" w:hAnsi="Times New Roman" w:cs="Times New Roman"/>
                        <w:color w:val="CC3300"/>
                        <w:sz w:val="24"/>
                        <w:szCs w:val="24"/>
                        <w:u w:val="single"/>
                      </w:rPr>
                      <w:t>http://www.nctm.org/</w:t>
                    </w:r>
                  </w:hyperlink>
                  <w:r w:rsidRPr="00B1758B">
                    <w:rPr>
                      <w:rFonts w:ascii="Times New Roman" w:eastAsia="Times New Roman" w:hAnsi="Times New Roman" w:cs="Times New Roman"/>
                      <w:color w:val="000000"/>
                      <w:sz w:val="24"/>
                      <w:szCs w:val="24"/>
                    </w:rPr>
                    <w:t> </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3"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Journal for Research in Mathematics Education (JRME)</w:t>
                  </w:r>
                  <w:r w:rsidRPr="00B1758B">
                    <w:rPr>
                      <w:rFonts w:ascii="Times New Roman" w:eastAsia="Times New Roman" w:hAnsi="Times New Roman" w:cs="Times New Roman"/>
                      <w:color w:val="000000"/>
                      <w:sz w:val="24"/>
                      <w:szCs w:val="24"/>
                    </w:rPr>
                    <w:br/>
                  </w:r>
                  <w:hyperlink r:id="rId8" w:history="1">
                    <w:r w:rsidRPr="00B1758B">
                      <w:rPr>
                        <w:rFonts w:ascii="Times New Roman" w:eastAsia="Times New Roman" w:hAnsi="Times New Roman" w:cs="Times New Roman"/>
                        <w:color w:val="CC3300"/>
                        <w:sz w:val="24"/>
                        <w:szCs w:val="24"/>
                        <w:u w:val="single"/>
                      </w:rPr>
                      <w:t>http://www.nctm.org/jrme/jrme.html</w:t>
                    </w:r>
                  </w:hyperlink>
                  <w:r w:rsidRPr="00B1758B">
                    <w:rPr>
                      <w:rFonts w:ascii="Times New Roman" w:eastAsia="Times New Roman" w:hAnsi="Times New Roman" w:cs="Times New Roman"/>
                      <w:color w:val="000000"/>
                      <w:sz w:val="24"/>
                      <w:szCs w:val="24"/>
                    </w:rPr>
                    <w:t> </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4"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Mathematics Teaching in the Middle School (MTMS)</w:t>
                  </w:r>
                  <w:r w:rsidRPr="00B1758B">
                    <w:rPr>
                      <w:rFonts w:ascii="Times New Roman" w:eastAsia="Times New Roman" w:hAnsi="Times New Roman" w:cs="Times New Roman"/>
                      <w:color w:val="000000"/>
                      <w:sz w:val="24"/>
                      <w:szCs w:val="24"/>
                    </w:rPr>
                    <w:br/>
                  </w:r>
                  <w:hyperlink r:id="rId9" w:history="1">
                    <w:r w:rsidRPr="00B1758B">
                      <w:rPr>
                        <w:rFonts w:ascii="Times New Roman" w:eastAsia="Times New Roman" w:hAnsi="Times New Roman" w:cs="Times New Roman"/>
                        <w:color w:val="CC3300"/>
                        <w:sz w:val="24"/>
                        <w:szCs w:val="24"/>
                        <w:u w:val="single"/>
                      </w:rPr>
                      <w:t>http://www.nctm.org/mtms/mtms.htm</w:t>
                    </w:r>
                  </w:hyperlink>
                  <w:r w:rsidRPr="00B1758B">
                    <w:rPr>
                      <w:rFonts w:ascii="Times New Roman" w:eastAsia="Times New Roman" w:hAnsi="Times New Roman" w:cs="Times New Roman"/>
                      <w:color w:val="000000"/>
                      <w:sz w:val="24"/>
                      <w:szCs w:val="24"/>
                    </w:rPr>
                    <w:t> </w:t>
                  </w:r>
                </w:p>
              </w:tc>
            </w:tr>
            <w:tr w:rsidR="00B1758B" w:rsidRPr="00B1758B" w:rsidTr="00B1758B">
              <w:trPr>
                <w:tblCellSpacing w:w="0" w:type="dxa"/>
              </w:trPr>
              <w:tc>
                <w:tcPr>
                  <w:tcW w:w="630" w:type="dxa"/>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pict>
                      <v:shape id="_x0000_i1065" type="#_x0000_t75" alt="" style="width:11.25pt;height:11.25pt;mso-wrap-distance-left:9.75pt;mso-wrap-distance-right:9.75pt"/>
                    </w:pict>
                  </w:r>
                </w:p>
              </w:tc>
              <w:tc>
                <w:tcPr>
                  <w:tcW w:w="500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Mathematics Teacher (MT)</w:t>
                  </w:r>
                  <w:r w:rsidRPr="00B1758B">
                    <w:rPr>
                      <w:rFonts w:ascii="Times New Roman" w:eastAsia="Times New Roman" w:hAnsi="Times New Roman" w:cs="Times New Roman"/>
                      <w:color w:val="000000"/>
                      <w:sz w:val="24"/>
                      <w:szCs w:val="24"/>
                    </w:rPr>
                    <w:br/>
                  </w:r>
                  <w:hyperlink r:id="rId10" w:history="1">
                    <w:r w:rsidRPr="00B1758B">
                      <w:rPr>
                        <w:rFonts w:ascii="Times New Roman" w:eastAsia="Times New Roman" w:hAnsi="Times New Roman" w:cs="Times New Roman"/>
                        <w:color w:val="CC3300"/>
                        <w:sz w:val="24"/>
                        <w:szCs w:val="24"/>
                        <w:u w:val="single"/>
                      </w:rPr>
                      <w:t>http://www.nctm.org/mt/mt.htm</w:t>
                    </w:r>
                  </w:hyperlink>
                  <w:r w:rsidRPr="00B1758B">
                    <w:rPr>
                      <w:rFonts w:ascii="Times New Roman" w:eastAsia="Times New Roman" w:hAnsi="Times New Roman" w:cs="Times New Roman"/>
                      <w:color w:val="000000"/>
                      <w:sz w:val="24"/>
                      <w:szCs w:val="24"/>
                    </w:rPr>
                    <w:t> </w:t>
                  </w:r>
                </w:p>
              </w:tc>
            </w:tr>
          </w:tbl>
          <w:p w:rsidR="00B1758B" w:rsidRPr="00B1758B" w:rsidRDefault="00B1758B" w:rsidP="00B1758B">
            <w:pPr>
              <w:spacing w:after="0" w:line="240" w:lineRule="auto"/>
              <w:rPr>
                <w:rFonts w:ascii="Times New Roman" w:eastAsia="Times New Roman" w:hAnsi="Times New Roman" w:cs="Times New Roman"/>
                <w:color w:val="000000"/>
                <w:sz w:val="24"/>
                <w:szCs w:val="24"/>
              </w:rPr>
            </w:pPr>
          </w:p>
        </w:tc>
      </w:tr>
      <w:tr w:rsidR="00B1758B" w:rsidRPr="00B1758B" w:rsidTr="00B1758B">
        <w:trPr>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lastRenderedPageBreak/>
              <w:t>11.</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Preparer’s Name and Date:</w:t>
            </w:r>
            <w:r w:rsidRPr="00B1758B">
              <w:rPr>
                <w:rFonts w:ascii="Times New Roman" w:eastAsia="Times New Roman" w:hAnsi="Times New Roman" w:cs="Times New Roman"/>
                <w:b/>
                <w:bCs/>
                <w:color w:val="000000"/>
                <w:sz w:val="24"/>
                <w:szCs w:val="24"/>
              </w:rPr>
              <w:br/>
            </w:r>
            <w:r w:rsidRPr="00B1758B">
              <w:rPr>
                <w:rFonts w:ascii="Times New Roman" w:eastAsia="Times New Roman" w:hAnsi="Times New Roman" w:cs="Times New Roman"/>
                <w:color w:val="000000"/>
                <w:sz w:val="24"/>
                <w:szCs w:val="24"/>
              </w:rPr>
              <w:t xml:space="preserve">Dr. Diane </w:t>
            </w:r>
            <w:proofErr w:type="spellStart"/>
            <w:r w:rsidRPr="00B1758B">
              <w:rPr>
                <w:rFonts w:ascii="Times New Roman" w:eastAsia="Times New Roman" w:hAnsi="Times New Roman" w:cs="Times New Roman"/>
                <w:color w:val="000000"/>
                <w:sz w:val="24"/>
                <w:szCs w:val="24"/>
              </w:rPr>
              <w:t>Kalish</w:t>
            </w:r>
            <w:proofErr w:type="spellEnd"/>
            <w:r w:rsidRPr="00B1758B">
              <w:rPr>
                <w:rFonts w:ascii="Times New Roman" w:eastAsia="Times New Roman" w:hAnsi="Times New Roman" w:cs="Times New Roman"/>
                <w:color w:val="000000"/>
                <w:sz w:val="24"/>
                <w:szCs w:val="24"/>
              </w:rPr>
              <w:t>, Fall 1999</w:t>
            </w:r>
          </w:p>
        </w:tc>
      </w:tr>
      <w:tr w:rsidR="00B1758B" w:rsidRPr="00B1758B" w:rsidTr="00B1758B">
        <w:trPr>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12.</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b/>
                <w:bCs/>
                <w:color w:val="000000"/>
                <w:sz w:val="24"/>
                <w:szCs w:val="24"/>
              </w:rPr>
            </w:pPr>
            <w:r w:rsidRPr="00B1758B">
              <w:rPr>
                <w:rFonts w:ascii="Times New Roman" w:eastAsia="Times New Roman" w:hAnsi="Times New Roman" w:cs="Times New Roman"/>
                <w:b/>
                <w:bCs/>
                <w:color w:val="000000"/>
                <w:sz w:val="24"/>
                <w:szCs w:val="24"/>
              </w:rPr>
              <w:t>Original Department Approval Date:</w:t>
            </w:r>
          </w:p>
        </w:tc>
      </w:tr>
      <w:tr w:rsidR="00B1758B" w:rsidRPr="00B1758B" w:rsidTr="00B1758B">
        <w:trPr>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13.</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Reviser’s Name and Date</w:t>
            </w:r>
            <w:r w:rsidRPr="00B1758B">
              <w:rPr>
                <w:rFonts w:ascii="Times New Roman" w:eastAsia="Times New Roman" w:hAnsi="Times New Roman" w:cs="Times New Roman"/>
                <w:color w:val="000000"/>
                <w:sz w:val="24"/>
                <w:szCs w:val="24"/>
              </w:rPr>
              <w:t>:</w:t>
            </w:r>
            <w:r w:rsidRPr="00B1758B">
              <w:rPr>
                <w:rFonts w:ascii="Times New Roman" w:eastAsia="Times New Roman" w:hAnsi="Times New Roman" w:cs="Times New Roman"/>
                <w:color w:val="000000"/>
                <w:sz w:val="24"/>
                <w:szCs w:val="24"/>
              </w:rPr>
              <w:br/>
              <w:t xml:space="preserve">Dr. </w:t>
            </w:r>
            <w:proofErr w:type="spellStart"/>
            <w:r w:rsidRPr="00B1758B">
              <w:rPr>
                <w:rFonts w:ascii="Times New Roman" w:eastAsia="Times New Roman" w:hAnsi="Times New Roman" w:cs="Times New Roman"/>
                <w:color w:val="000000"/>
                <w:sz w:val="24"/>
                <w:szCs w:val="24"/>
              </w:rPr>
              <w:t>Beva</w:t>
            </w:r>
            <w:proofErr w:type="spellEnd"/>
            <w:r w:rsidRPr="00B1758B">
              <w:rPr>
                <w:rFonts w:ascii="Times New Roman" w:eastAsia="Times New Roman" w:hAnsi="Times New Roman" w:cs="Times New Roman"/>
                <w:color w:val="000000"/>
                <w:sz w:val="24"/>
                <w:szCs w:val="24"/>
              </w:rPr>
              <w:t xml:space="preserve"> Eastman, Fall 2001</w:t>
            </w:r>
          </w:p>
        </w:tc>
      </w:tr>
      <w:tr w:rsidR="00B1758B" w:rsidRPr="00B1758B" w:rsidTr="00B1758B">
        <w:trPr>
          <w:tblCellSpacing w:w="0" w:type="dxa"/>
        </w:trPr>
        <w:tc>
          <w:tcPr>
            <w:tcW w:w="150" w:type="pct"/>
            <w:noWrap/>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14.</w:t>
            </w:r>
          </w:p>
        </w:tc>
        <w:tc>
          <w:tcPr>
            <w:tcW w:w="4850" w:type="pct"/>
            <w:hideMark/>
          </w:tcPr>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Departmental Revision Approval Date</w:t>
            </w:r>
            <w:r w:rsidRPr="00B1758B">
              <w:rPr>
                <w:rFonts w:ascii="Times New Roman" w:eastAsia="Times New Roman" w:hAnsi="Times New Roman" w:cs="Times New Roman"/>
                <w:color w:val="000000"/>
                <w:sz w:val="24"/>
                <w:szCs w:val="24"/>
              </w:rPr>
              <w:t>:</w:t>
            </w:r>
          </w:p>
        </w:tc>
      </w:tr>
      <w:tr w:rsidR="00B1758B" w:rsidRPr="00B1758B" w:rsidTr="00B1758B">
        <w:trPr>
          <w:tblCellSpacing w:w="0" w:type="dxa"/>
        </w:trPr>
        <w:tc>
          <w:tcPr>
            <w:tcW w:w="150" w:type="pct"/>
            <w:noWrap/>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
        </w:tc>
        <w:tc>
          <w:tcPr>
            <w:tcW w:w="485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p>
        </w:tc>
      </w:tr>
      <w:tr w:rsidR="00B1758B" w:rsidRPr="00B1758B" w:rsidTr="00B1758B">
        <w:trPr>
          <w:tblCellSpacing w:w="0" w:type="dxa"/>
        </w:trPr>
        <w:tc>
          <w:tcPr>
            <w:tcW w:w="150" w:type="pct"/>
            <w:noWrap/>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b/>
                <w:bCs/>
                <w:color w:val="000000"/>
                <w:sz w:val="24"/>
                <w:szCs w:val="24"/>
              </w:rPr>
              <w:t> </w:t>
            </w:r>
          </w:p>
        </w:tc>
        <w:tc>
          <w:tcPr>
            <w:tcW w:w="4850" w:type="pct"/>
            <w:hideMark/>
          </w:tcPr>
          <w:p w:rsidR="00B1758B" w:rsidRPr="00B1758B" w:rsidRDefault="00B1758B" w:rsidP="00B1758B">
            <w:pPr>
              <w:spacing w:after="0"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w:t>
            </w:r>
          </w:p>
        </w:tc>
      </w:tr>
    </w:tbl>
    <w:p w:rsidR="00B1758B" w:rsidRPr="00B1758B" w:rsidRDefault="00B1758B" w:rsidP="00B1758B">
      <w:pPr>
        <w:spacing w:before="100" w:beforeAutospacing="1" w:after="100" w:afterAutospacing="1" w:line="240" w:lineRule="auto"/>
        <w:rPr>
          <w:rFonts w:ascii="Times New Roman" w:eastAsia="Times New Roman" w:hAnsi="Times New Roman" w:cs="Times New Roman"/>
          <w:color w:val="000000"/>
          <w:sz w:val="24"/>
          <w:szCs w:val="24"/>
        </w:rPr>
      </w:pPr>
      <w:r w:rsidRPr="00B1758B">
        <w:rPr>
          <w:rFonts w:ascii="Times New Roman" w:eastAsia="Times New Roman" w:hAnsi="Times New Roman" w:cs="Times New Roman"/>
          <w:color w:val="000000"/>
          <w:sz w:val="24"/>
          <w:szCs w:val="24"/>
        </w:rPr>
        <w:t> </w:t>
      </w:r>
    </w:p>
    <w:p w:rsidR="00062495" w:rsidRDefault="00B1758B" w:rsidP="00B1758B">
      <w:r w:rsidRPr="00B1758B">
        <w:rPr>
          <w:rFonts w:ascii="Times New Roman" w:eastAsia="Times New Roman" w:hAnsi="Times New Roman" w:cs="Times New Roman"/>
          <w:color w:val="000000"/>
          <w:sz w:val="24"/>
          <w:szCs w:val="24"/>
        </w:rPr>
        <w:t> </w:t>
      </w:r>
    </w:p>
    <w:sectPr w:rsidR="00062495" w:rsidSect="001F3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A3F27"/>
    <w:multiLevelType w:val="multilevel"/>
    <w:tmpl w:val="111C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CB48BC"/>
    <w:multiLevelType w:val="multilevel"/>
    <w:tmpl w:val="5036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64231D"/>
    <w:multiLevelType w:val="multilevel"/>
    <w:tmpl w:val="5F02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58B"/>
    <w:rsid w:val="00161CA6"/>
    <w:rsid w:val="001F30BC"/>
    <w:rsid w:val="00B1758B"/>
    <w:rsid w:val="00CC7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758B"/>
    <w:rPr>
      <w:color w:val="CC3300"/>
      <w:u w:val="single"/>
    </w:rPr>
  </w:style>
  <w:style w:type="paragraph" w:styleId="NormalWeb">
    <w:name w:val="Normal (Web)"/>
    <w:basedOn w:val="Normal"/>
    <w:uiPriority w:val="99"/>
    <w:unhideWhenUsed/>
    <w:rsid w:val="00B1758B"/>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601720">
      <w:bodyDiv w:val="1"/>
      <w:marLeft w:val="0"/>
      <w:marRight w:val="0"/>
      <w:marTop w:val="0"/>
      <w:marBottom w:val="0"/>
      <w:divBdr>
        <w:top w:val="none" w:sz="0" w:space="0" w:color="auto"/>
        <w:left w:val="none" w:sz="0" w:space="0" w:color="auto"/>
        <w:bottom w:val="none" w:sz="0" w:space="0" w:color="auto"/>
        <w:right w:val="none" w:sz="0" w:space="0" w:color="auto"/>
      </w:divBdr>
      <w:divsChild>
        <w:div w:id="991565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4556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6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15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6523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6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20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tm.org/jrme/jrme.html" TargetMode="External"/><Relationship Id="rId3" Type="http://schemas.openxmlformats.org/officeDocument/2006/relationships/settings" Target="settings.xml"/><Relationship Id="rId7" Type="http://schemas.openxmlformats.org/officeDocument/2006/relationships/hyperlink" Target="http://www.nct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ce.org/" TargetMode="External"/><Relationship Id="rId11" Type="http://schemas.openxmlformats.org/officeDocument/2006/relationships/fontTable" Target="fontTable.xml"/><Relationship Id="rId5" Type="http://schemas.openxmlformats.org/officeDocument/2006/relationships/hyperlink" Target="http://www.wpunj.edu/cos/math/outlines/maen502.htm" TargetMode="External"/><Relationship Id="rId10" Type="http://schemas.openxmlformats.org/officeDocument/2006/relationships/hyperlink" Target="http://www.nctm.org/mt/mt.htm" TargetMode="External"/><Relationship Id="rId4" Type="http://schemas.openxmlformats.org/officeDocument/2006/relationships/webSettings" Target="webSettings.xml"/><Relationship Id="rId9" Type="http://schemas.openxmlformats.org/officeDocument/2006/relationships/hyperlink" Target="http://www.nctm.org/mtms/mt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2225</Words>
  <Characters>12685</Characters>
  <Application>Microsoft Office Word</Application>
  <DocSecurity>0</DocSecurity>
  <Lines>105</Lines>
  <Paragraphs>29</Paragraphs>
  <ScaleCrop>false</ScaleCrop>
  <Company>William Paterson University</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mouserc</dc:creator>
  <cp:keywords/>
  <dc:description/>
  <cp:lastModifiedBy>mouserc</cp:lastModifiedBy>
  <cp:revision>1</cp:revision>
  <dcterms:created xsi:type="dcterms:W3CDTF">2011-11-08T21:07:00Z</dcterms:created>
  <dcterms:modified xsi:type="dcterms:W3CDTF">2011-11-08T21:08:00Z</dcterms:modified>
</cp:coreProperties>
</file>