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6"/>
        <w:tblW w:w="9969" w:type="dxa"/>
        <w:tblLayout w:type="fixed"/>
        <w:tblCellMar>
          <w:left w:w="0" w:type="dxa"/>
          <w:right w:w="0" w:type="dxa"/>
        </w:tblCellMar>
        <w:tblLook w:val="04A0" w:firstRow="1" w:lastRow="0" w:firstColumn="1" w:lastColumn="0" w:noHBand="0" w:noVBand="1"/>
      </w:tblPr>
      <w:tblGrid>
        <w:gridCol w:w="1454"/>
        <w:gridCol w:w="1479"/>
        <w:gridCol w:w="379"/>
        <w:gridCol w:w="1075"/>
        <w:gridCol w:w="1134"/>
        <w:gridCol w:w="542"/>
        <w:gridCol w:w="568"/>
        <w:gridCol w:w="863"/>
        <w:gridCol w:w="23"/>
        <w:gridCol w:w="1062"/>
        <w:gridCol w:w="1361"/>
        <w:gridCol w:w="18"/>
        <w:gridCol w:w="11"/>
      </w:tblGrid>
      <w:tr w:rsidR="00C86CBC" w:rsidTr="0022569E">
        <w:trPr>
          <w:gridAfter w:val="1"/>
          <w:wAfter w:w="11" w:type="dxa"/>
          <w:trHeight w:val="1353"/>
        </w:trPr>
        <w:tc>
          <w:tcPr>
            <w:tcW w:w="3312" w:type="dxa"/>
            <w:gridSpan w:val="3"/>
            <w:shd w:val="clear" w:color="auto" w:fill="CEC9C8"/>
            <w:tcMar>
              <w:top w:w="0" w:type="dxa"/>
              <w:left w:w="108" w:type="dxa"/>
              <w:bottom w:w="0" w:type="dxa"/>
              <w:right w:w="108" w:type="dxa"/>
            </w:tcMar>
            <w:hideMark/>
          </w:tcPr>
          <w:p w:rsidR="00782340" w:rsidRDefault="00782340" w:rsidP="00782340">
            <w:pPr>
              <w:spacing w:line="276" w:lineRule="auto"/>
              <w:jc w:val="center"/>
              <w:rPr>
                <w:rFonts w:eastAsiaTheme="minorHAnsi"/>
                <w:b/>
                <w:bCs/>
                <w:i/>
                <w:iCs/>
                <w:color w:val="3378CB"/>
              </w:rPr>
            </w:pPr>
            <w:r>
              <w:rPr>
                <w:noProof/>
                <w:sz w:val="20"/>
                <w:szCs w:val="20"/>
              </w:rPr>
              <w:drawing>
                <wp:inline distT="0" distB="0" distL="0" distR="0" wp14:anchorId="02776BD4" wp14:editId="3A7061A5">
                  <wp:extent cx="1590675" cy="1009650"/>
                  <wp:effectExtent l="0" t="0" r="0" b="0"/>
                  <wp:docPr id="2"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tc>
        <w:tc>
          <w:tcPr>
            <w:tcW w:w="3319" w:type="dxa"/>
            <w:gridSpan w:val="4"/>
            <w:shd w:val="clear" w:color="auto" w:fill="CEC9C8"/>
            <w:tcMar>
              <w:top w:w="0" w:type="dxa"/>
              <w:left w:w="108" w:type="dxa"/>
              <w:bottom w:w="0" w:type="dxa"/>
              <w:right w:w="108" w:type="dxa"/>
            </w:tcMar>
            <w:vAlign w:val="center"/>
          </w:tcPr>
          <w:p w:rsidR="00782340" w:rsidRDefault="00782340" w:rsidP="00782340">
            <w:pPr>
              <w:jc w:val="center"/>
              <w:rPr>
                <w:rFonts w:eastAsiaTheme="minorHAnsi" w:cstheme="minorBidi"/>
                <w:b/>
                <w:bCs/>
                <w:i/>
                <w:iCs/>
                <w:color w:val="000000"/>
                <w:sz w:val="24"/>
                <w:szCs w:val="24"/>
              </w:rPr>
            </w:pPr>
            <w:r>
              <w:rPr>
                <w:b/>
                <w:bCs/>
                <w:i/>
                <w:iCs/>
                <w:color w:val="000000"/>
                <w:sz w:val="24"/>
                <w:szCs w:val="24"/>
              </w:rPr>
              <w:t>Office of Sponsored Programs</w:t>
            </w:r>
          </w:p>
          <w:p w:rsidR="00782340" w:rsidRDefault="00782340" w:rsidP="00782340">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782340" w:rsidRDefault="00782340" w:rsidP="00782340">
            <w:pPr>
              <w:jc w:val="center"/>
              <w:rPr>
                <w:b/>
                <w:bCs/>
                <w:i/>
                <w:iCs/>
                <w:color w:val="000000"/>
                <w:sz w:val="24"/>
                <w:szCs w:val="24"/>
              </w:rPr>
            </w:pPr>
            <w:r>
              <w:rPr>
                <w:b/>
                <w:bCs/>
                <w:i/>
                <w:iCs/>
                <w:color w:val="000000"/>
                <w:sz w:val="24"/>
                <w:szCs w:val="24"/>
              </w:rPr>
              <w:t>973-720-2852</w:t>
            </w:r>
          </w:p>
          <w:p w:rsidR="00782340" w:rsidRPr="00C4184E" w:rsidRDefault="006174C5" w:rsidP="00782340">
            <w:pPr>
              <w:jc w:val="center"/>
              <w:rPr>
                <w:rStyle w:val="Hyperlink"/>
                <w:sz w:val="24"/>
                <w:szCs w:val="24"/>
              </w:rPr>
            </w:pPr>
            <w:hyperlink r:id="rId7" w:history="1">
              <w:r w:rsidR="00782340" w:rsidRPr="00C4184E">
                <w:rPr>
                  <w:rStyle w:val="Hyperlink"/>
                  <w:b/>
                  <w:sz w:val="24"/>
                  <w:szCs w:val="24"/>
                </w:rPr>
                <w:t>grants@wpunj.edu</w:t>
              </w:r>
            </w:hyperlink>
          </w:p>
          <w:p w:rsidR="00782340" w:rsidRPr="00782340" w:rsidRDefault="006174C5" w:rsidP="00782340">
            <w:pPr>
              <w:jc w:val="center"/>
              <w:rPr>
                <w:b/>
                <w:bCs/>
                <w:i/>
                <w:iCs/>
                <w:color w:val="3378CB"/>
              </w:rPr>
            </w:pPr>
            <w:hyperlink r:id="rId8" w:history="1">
              <w:r w:rsidR="00782340" w:rsidRPr="00C4184E">
                <w:rPr>
                  <w:rStyle w:val="Hyperlink"/>
                  <w:b/>
                  <w:sz w:val="24"/>
                  <w:szCs w:val="24"/>
                </w:rPr>
                <w:t>www.wpunj.edu/osp</w:t>
              </w:r>
            </w:hyperlink>
          </w:p>
        </w:tc>
        <w:tc>
          <w:tcPr>
            <w:tcW w:w="3327" w:type="dxa"/>
            <w:gridSpan w:val="5"/>
            <w:shd w:val="clear" w:color="auto" w:fill="CEC9C8"/>
            <w:tcMar>
              <w:top w:w="0" w:type="dxa"/>
              <w:left w:w="108" w:type="dxa"/>
              <w:bottom w:w="0" w:type="dxa"/>
              <w:right w:w="108" w:type="dxa"/>
            </w:tcMar>
            <w:hideMark/>
          </w:tcPr>
          <w:p w:rsidR="00782340" w:rsidRDefault="007A3722" w:rsidP="00782340">
            <w:pPr>
              <w:spacing w:line="276" w:lineRule="auto"/>
              <w:jc w:val="right"/>
              <w:rPr>
                <w:rFonts w:eastAsiaTheme="minorHAnsi"/>
                <w:b/>
                <w:bCs/>
                <w:i/>
                <w:iCs/>
                <w:color w:val="3378CB"/>
              </w:rPr>
            </w:pPr>
            <w:r>
              <w:rPr>
                <w:rFonts w:eastAsiaTheme="minorHAnsi"/>
                <w:b/>
                <w:i/>
                <w:noProof/>
                <w:color w:val="3378CB"/>
              </w:rPr>
              <w:drawing>
                <wp:anchor distT="0" distB="0" distL="114300" distR="114300" simplePos="0" relativeHeight="251658240" behindDoc="0" locked="0" layoutInCell="1" allowOverlap="1">
                  <wp:simplePos x="0" y="0"/>
                  <wp:positionH relativeFrom="column">
                    <wp:posOffset>770890</wp:posOffset>
                  </wp:positionH>
                  <wp:positionV relativeFrom="paragraph">
                    <wp:posOffset>66675</wp:posOffset>
                  </wp:positionV>
                  <wp:extent cx="1040629" cy="885825"/>
                  <wp:effectExtent l="0" t="0" r="7620" b="0"/>
                  <wp:wrapNone/>
                  <wp:docPr id="3" name="Picture 3" descr="C:\Users\grants\AppData\Local\Microsoft\Windows\Temporary Internet Files\Content.IE5\66HJZ6BD\MC900446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66HJZ6BD\MC90044627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629"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681D" w:rsidRPr="00A40614" w:rsidTr="0022569E">
        <w:trPr>
          <w:gridAfter w:val="1"/>
          <w:wAfter w:w="11" w:type="dxa"/>
          <w:trHeight w:val="446"/>
        </w:trPr>
        <w:tc>
          <w:tcPr>
            <w:tcW w:w="7494" w:type="dxa"/>
            <w:gridSpan w:val="8"/>
            <w:tcBorders>
              <w:bottom w:val="single" w:sz="12" w:space="0" w:color="auto"/>
            </w:tcBorders>
            <w:shd w:val="clear" w:color="auto" w:fill="FFC000"/>
            <w:tcMar>
              <w:top w:w="0" w:type="dxa"/>
              <w:left w:w="108" w:type="dxa"/>
              <w:bottom w:w="0" w:type="dxa"/>
              <w:right w:w="108" w:type="dxa"/>
            </w:tcMar>
            <w:vAlign w:val="center"/>
          </w:tcPr>
          <w:p w:rsidR="00782340" w:rsidRPr="00201C05" w:rsidRDefault="00782340" w:rsidP="002719E0">
            <w:pPr>
              <w:rPr>
                <w:rFonts w:asciiTheme="minorHAnsi" w:hAnsiTheme="minorHAnsi" w:cs="Arial"/>
                <w:b/>
                <w:iCs/>
                <w:sz w:val="32"/>
                <w:szCs w:val="36"/>
              </w:rPr>
            </w:pPr>
            <w:r w:rsidRPr="00201C05">
              <w:rPr>
                <w:rFonts w:asciiTheme="minorHAnsi" w:hAnsiTheme="minorHAnsi" w:cs="Arial"/>
                <w:b/>
                <w:iCs/>
                <w:sz w:val="32"/>
                <w:szCs w:val="36"/>
              </w:rPr>
              <w:t xml:space="preserve">Funding Opportunities Newsletter                                           </w:t>
            </w:r>
          </w:p>
        </w:tc>
        <w:tc>
          <w:tcPr>
            <w:tcW w:w="2464" w:type="dxa"/>
            <w:gridSpan w:val="4"/>
            <w:tcBorders>
              <w:bottom w:val="single" w:sz="12" w:space="0" w:color="auto"/>
            </w:tcBorders>
            <w:shd w:val="clear" w:color="auto" w:fill="FFC000"/>
            <w:vAlign w:val="center"/>
          </w:tcPr>
          <w:p w:rsidR="00782340" w:rsidRPr="00201C05" w:rsidRDefault="00A03F06" w:rsidP="00D65A6C">
            <w:pPr>
              <w:jc w:val="right"/>
              <w:rPr>
                <w:rFonts w:asciiTheme="minorHAnsi" w:hAnsiTheme="minorHAnsi" w:cs="Arial"/>
                <w:b/>
                <w:iCs/>
                <w:sz w:val="32"/>
                <w:szCs w:val="36"/>
              </w:rPr>
            </w:pPr>
            <w:r>
              <w:rPr>
                <w:rFonts w:asciiTheme="minorHAnsi" w:hAnsiTheme="minorHAnsi" w:cs="Arial"/>
                <w:b/>
                <w:iCs/>
                <w:sz w:val="32"/>
                <w:szCs w:val="36"/>
              </w:rPr>
              <w:t>June</w:t>
            </w:r>
            <w:r w:rsidR="002D643B" w:rsidRPr="00201C05">
              <w:rPr>
                <w:rFonts w:asciiTheme="minorHAnsi" w:hAnsiTheme="minorHAnsi" w:cs="Arial"/>
                <w:b/>
                <w:iCs/>
                <w:sz w:val="32"/>
                <w:szCs w:val="36"/>
              </w:rPr>
              <w:t xml:space="preserve"> </w:t>
            </w:r>
            <w:r w:rsidR="00D65A6C">
              <w:rPr>
                <w:rFonts w:asciiTheme="minorHAnsi" w:hAnsiTheme="minorHAnsi" w:cs="Arial"/>
                <w:b/>
                <w:iCs/>
                <w:sz w:val="32"/>
                <w:szCs w:val="36"/>
              </w:rPr>
              <w:t>30</w:t>
            </w:r>
            <w:r w:rsidR="00782340" w:rsidRPr="00201C05">
              <w:rPr>
                <w:rFonts w:asciiTheme="minorHAnsi" w:hAnsiTheme="minorHAnsi" w:cs="Arial"/>
                <w:b/>
                <w:iCs/>
                <w:sz w:val="32"/>
                <w:szCs w:val="36"/>
              </w:rPr>
              <w:t>, 201</w:t>
            </w:r>
            <w:r w:rsidR="00A40614" w:rsidRPr="00201C05">
              <w:rPr>
                <w:rFonts w:asciiTheme="minorHAnsi" w:hAnsiTheme="minorHAnsi" w:cs="Arial"/>
                <w:b/>
                <w:iCs/>
                <w:sz w:val="32"/>
                <w:szCs w:val="36"/>
              </w:rPr>
              <w:t>4</w:t>
            </w:r>
          </w:p>
        </w:tc>
      </w:tr>
      <w:tr w:rsidR="00653B41" w:rsidRPr="00A40614" w:rsidTr="0022569E">
        <w:trPr>
          <w:gridAfter w:val="1"/>
          <w:wAfter w:w="11" w:type="dxa"/>
          <w:trHeight w:val="270"/>
        </w:trPr>
        <w:tc>
          <w:tcPr>
            <w:tcW w:w="9958" w:type="dxa"/>
            <w:gridSpan w:val="12"/>
            <w:tcBorders>
              <w:bottom w:val="single" w:sz="12" w:space="0" w:color="auto"/>
            </w:tcBorders>
            <w:shd w:val="clear" w:color="auto" w:fill="auto"/>
            <w:tcMar>
              <w:top w:w="0" w:type="dxa"/>
              <w:left w:w="108" w:type="dxa"/>
              <w:bottom w:w="0" w:type="dxa"/>
              <w:right w:w="108" w:type="dxa"/>
            </w:tcMar>
            <w:vAlign w:val="center"/>
          </w:tcPr>
          <w:p w:rsidR="00653B41" w:rsidRPr="00653B41" w:rsidRDefault="00653B41" w:rsidP="00653B41">
            <w:pPr>
              <w:jc w:val="center"/>
              <w:rPr>
                <w:rFonts w:asciiTheme="minorHAnsi" w:hAnsiTheme="minorHAnsi"/>
                <w:b/>
                <w:bCs/>
                <w:color w:val="FF0000"/>
                <w:sz w:val="24"/>
                <w:szCs w:val="24"/>
              </w:rPr>
            </w:pPr>
            <w:r w:rsidRPr="00043D76">
              <w:rPr>
                <w:rFonts w:asciiTheme="minorHAnsi" w:hAnsiTheme="minorHAnsi"/>
                <w:b/>
                <w:bCs/>
                <w:color w:val="FF0000"/>
                <w:sz w:val="24"/>
                <w:szCs w:val="24"/>
              </w:rPr>
              <w:t>Please contact the Office of Sponsored Programs when you begin</w:t>
            </w:r>
            <w:r>
              <w:rPr>
                <w:rFonts w:asciiTheme="minorHAnsi" w:hAnsiTheme="minorHAnsi"/>
                <w:b/>
                <w:bCs/>
                <w:color w:val="FF0000"/>
                <w:sz w:val="24"/>
                <w:szCs w:val="24"/>
              </w:rPr>
              <w:t xml:space="preserve"> </w:t>
            </w:r>
            <w:r w:rsidRPr="00043D76">
              <w:rPr>
                <w:rFonts w:asciiTheme="minorHAnsi" w:hAnsiTheme="minorHAnsi"/>
                <w:b/>
                <w:bCs/>
                <w:color w:val="FF0000"/>
                <w:sz w:val="24"/>
                <w:szCs w:val="24"/>
              </w:rPr>
              <w:t>working on a proposal.</w:t>
            </w:r>
          </w:p>
        </w:tc>
      </w:tr>
      <w:tr w:rsidR="00C30CF1" w:rsidTr="0022569E">
        <w:trPr>
          <w:gridAfter w:val="2"/>
          <w:wAfter w:w="29" w:type="dxa"/>
          <w:trHeight w:val="335"/>
        </w:trPr>
        <w:tc>
          <w:tcPr>
            <w:tcW w:w="5521" w:type="dxa"/>
            <w:gridSpan w:val="5"/>
            <w:tcBorders>
              <w:top w:val="single" w:sz="12" w:space="0" w:color="auto"/>
              <w:right w:val="single" w:sz="12" w:space="0" w:color="auto"/>
            </w:tcBorders>
          </w:tcPr>
          <w:p w:rsidR="001E276B" w:rsidRDefault="000A16D5" w:rsidP="0012574C">
            <w:pPr>
              <w:ind w:right="144"/>
              <w:rPr>
                <w:b/>
                <w:i/>
                <w:sz w:val="32"/>
                <w:szCs w:val="32"/>
              </w:rPr>
            </w:pPr>
            <w:r>
              <w:rPr>
                <w:b/>
                <w:i/>
                <w:sz w:val="32"/>
                <w:szCs w:val="32"/>
              </w:rPr>
              <w:t>Search for Funding</w:t>
            </w:r>
          </w:p>
          <w:p w:rsidR="000A16D5" w:rsidRPr="00380420" w:rsidRDefault="000A16D5" w:rsidP="0012574C">
            <w:pPr>
              <w:ind w:right="144"/>
              <w:rPr>
                <w:rFonts w:ascii="Arial" w:hAnsi="Arial" w:cs="Arial"/>
                <w:sz w:val="20"/>
                <w:szCs w:val="20"/>
              </w:rPr>
            </w:pPr>
            <w:r w:rsidRPr="00380420">
              <w:rPr>
                <w:rFonts w:ascii="Arial" w:hAnsi="Arial" w:cs="Arial"/>
                <w:sz w:val="20"/>
                <w:szCs w:val="20"/>
              </w:rPr>
              <w:t>*Use online databases such as the subscription services provided through WPU’s Office of Sponsored Programs or free services available from the Federal Government or other programs*</w:t>
            </w:r>
          </w:p>
          <w:p w:rsidR="00131CD8" w:rsidRPr="00131CD8" w:rsidRDefault="00131CD8" w:rsidP="0012574C">
            <w:pPr>
              <w:ind w:right="144"/>
              <w:rPr>
                <w:b/>
                <w:i/>
                <w:sz w:val="16"/>
                <w:szCs w:val="16"/>
              </w:rPr>
            </w:pPr>
          </w:p>
          <w:p w:rsidR="00624328" w:rsidRDefault="006174C5" w:rsidP="0012574C">
            <w:pPr>
              <w:ind w:right="144"/>
              <w:rPr>
                <w:rFonts w:ascii="Arial" w:hAnsi="Arial" w:cs="Arial"/>
                <w:color w:val="313131"/>
                <w:bdr w:val="none" w:sz="0" w:space="0" w:color="auto" w:frame="1"/>
              </w:rPr>
            </w:pPr>
            <w:hyperlink r:id="rId10" w:history="1">
              <w:r w:rsidR="00624328" w:rsidRPr="00D41D25">
                <w:rPr>
                  <w:rStyle w:val="Hyperlink"/>
                  <w:rFonts w:ascii="Arial" w:hAnsi="Arial" w:cs="Arial"/>
                  <w:b/>
                </w:rPr>
                <w:t>COS PIVOT</w:t>
              </w:r>
            </w:hyperlink>
            <w:r w:rsidR="00624328" w:rsidRPr="00D41D25">
              <w:rPr>
                <w:rFonts w:ascii="Arial" w:hAnsi="Arial" w:cs="Arial"/>
                <w:b/>
                <w:color w:val="313131"/>
                <w:bdr w:val="none" w:sz="0" w:space="0" w:color="auto" w:frame="1"/>
              </w:rPr>
              <w:t xml:space="preserve"> </w:t>
            </w:r>
            <w:r w:rsidR="00624328" w:rsidRPr="00D41D25">
              <w:rPr>
                <w:rFonts w:ascii="Arial" w:hAnsi="Arial" w:cs="Arial"/>
                <w:color w:val="313131"/>
                <w:bdr w:val="none" w:sz="0" w:space="0" w:color="auto" w:frame="1"/>
              </w:rPr>
              <w:t>gives Research Administrators, Research Development Professionals, and their institutions the edge to bring together the right research opportunities, funding, and people quickly and easily</w:t>
            </w:r>
            <w:r w:rsidR="00624328" w:rsidRPr="00131CD8">
              <w:rPr>
                <w:rFonts w:ascii="Arial" w:hAnsi="Arial" w:cs="Arial"/>
                <w:color w:val="313131"/>
                <w:bdr w:val="none" w:sz="0" w:space="0" w:color="auto" w:frame="1"/>
              </w:rPr>
              <w:t>.</w:t>
            </w:r>
          </w:p>
          <w:p w:rsidR="00131CD8" w:rsidRPr="00131CD8" w:rsidRDefault="00131CD8" w:rsidP="0012574C">
            <w:pPr>
              <w:ind w:right="144"/>
              <w:rPr>
                <w:rFonts w:ascii="Arial" w:hAnsi="Arial" w:cs="Arial"/>
                <w:color w:val="313131"/>
                <w:sz w:val="16"/>
                <w:szCs w:val="16"/>
                <w:bdr w:val="none" w:sz="0" w:space="0" w:color="auto" w:frame="1"/>
              </w:rPr>
            </w:pPr>
          </w:p>
          <w:p w:rsidR="001E276B" w:rsidRDefault="006174C5" w:rsidP="0012574C">
            <w:pPr>
              <w:ind w:right="144"/>
              <w:rPr>
                <w:rFonts w:ascii="Arial" w:hAnsi="Arial" w:cs="Arial"/>
                <w:color w:val="313131"/>
                <w:bdr w:val="none" w:sz="0" w:space="0" w:color="auto" w:frame="1"/>
              </w:rPr>
            </w:pPr>
            <w:hyperlink r:id="rId11" w:history="1">
              <w:r w:rsidR="00131CD8" w:rsidRPr="00131CD8">
                <w:rPr>
                  <w:rStyle w:val="Hyperlink"/>
                  <w:rFonts w:ascii="Arial" w:hAnsi="Arial" w:cs="Arial"/>
                  <w:b/>
                  <w:bdr w:val="none" w:sz="0" w:space="0" w:color="auto" w:frame="1"/>
                </w:rPr>
                <w:t>GrantSearch</w:t>
              </w:r>
            </w:hyperlink>
            <w:r w:rsidR="00131CD8" w:rsidRPr="00131CD8">
              <w:rPr>
                <w:rFonts w:ascii="Arial" w:hAnsi="Arial" w:cs="Arial"/>
                <w:color w:val="313131"/>
                <w:bdr w:val="none" w:sz="0" w:space="0" w:color="auto" w:frame="1"/>
              </w:rPr>
              <w:t xml:space="preserve"> contai</w:t>
            </w:r>
            <w:r w:rsidR="0012574C">
              <w:rPr>
                <w:rFonts w:ascii="Arial" w:hAnsi="Arial" w:cs="Arial"/>
                <w:color w:val="313131"/>
                <w:bdr w:val="none" w:sz="0" w:space="0" w:color="auto" w:frame="1"/>
              </w:rPr>
              <w:t xml:space="preserve">ns descriptions, deadlines, and </w:t>
            </w:r>
            <w:r w:rsidR="00131CD8" w:rsidRPr="00131CD8">
              <w:rPr>
                <w:rFonts w:ascii="Arial" w:hAnsi="Arial" w:cs="Arial"/>
                <w:color w:val="313131"/>
                <w:bdr w:val="none" w:sz="0" w:space="0" w:color="auto" w:frame="1"/>
              </w:rPr>
              <w:t>contact information on nearly 12,000 federal and private funding programs of particular interest to public colleges and universities.</w:t>
            </w:r>
          </w:p>
          <w:p w:rsidR="00131CD8" w:rsidRDefault="00131CD8" w:rsidP="0012574C">
            <w:pPr>
              <w:ind w:right="144"/>
              <w:rPr>
                <w:rFonts w:ascii="Arial" w:hAnsi="Arial" w:cs="Arial"/>
                <w:color w:val="313131"/>
                <w:sz w:val="16"/>
                <w:szCs w:val="16"/>
                <w:bdr w:val="none" w:sz="0" w:space="0" w:color="auto" w:frame="1"/>
              </w:rPr>
            </w:pPr>
          </w:p>
          <w:p w:rsidR="00131CD8" w:rsidRDefault="006174C5" w:rsidP="0012574C">
            <w:pPr>
              <w:ind w:right="144"/>
              <w:rPr>
                <w:rFonts w:ascii="Arial" w:hAnsi="Arial" w:cs="Arial"/>
                <w:color w:val="313131"/>
                <w:bdr w:val="none" w:sz="0" w:space="0" w:color="auto" w:frame="1"/>
              </w:rPr>
            </w:pPr>
            <w:hyperlink r:id="rId12" w:history="1">
              <w:r w:rsidR="009753E2" w:rsidRPr="009753E2">
                <w:rPr>
                  <w:rStyle w:val="Hyperlink"/>
                  <w:rFonts w:ascii="Arial" w:hAnsi="Arial" w:cs="Arial"/>
                  <w:b/>
                  <w:bdr w:val="none" w:sz="0" w:space="0" w:color="auto" w:frame="1"/>
                </w:rPr>
                <w:t>Grants.gov</w:t>
              </w:r>
            </w:hyperlink>
            <w:r w:rsidR="00325C19">
              <w:rPr>
                <w:rFonts w:ascii="Arial" w:hAnsi="Arial" w:cs="Arial"/>
                <w:color w:val="313131"/>
                <w:sz w:val="21"/>
                <w:szCs w:val="21"/>
                <w:shd w:val="clear" w:color="auto" w:fill="F7F8FA"/>
              </w:rPr>
              <w:t xml:space="preserve"> </w:t>
            </w:r>
            <w:r w:rsidR="009753E2" w:rsidRPr="009753E2">
              <w:rPr>
                <w:rFonts w:ascii="Arial" w:hAnsi="Arial" w:cs="Arial"/>
                <w:color w:val="313131"/>
                <w:bdr w:val="none" w:sz="0" w:space="0" w:color="auto" w:frame="1"/>
              </w:rPr>
              <w:t>is the Federal portal to finding funding opportunities and then applying for support.</w:t>
            </w:r>
          </w:p>
          <w:p w:rsidR="00733ABB" w:rsidRDefault="00733ABB" w:rsidP="0012574C">
            <w:pPr>
              <w:ind w:right="144"/>
              <w:rPr>
                <w:rFonts w:ascii="Arial" w:hAnsi="Arial" w:cs="Arial"/>
                <w:b/>
                <w:color w:val="313131"/>
                <w:sz w:val="16"/>
                <w:szCs w:val="16"/>
                <w:bdr w:val="none" w:sz="0" w:space="0" w:color="auto" w:frame="1"/>
              </w:rPr>
            </w:pPr>
          </w:p>
          <w:p w:rsidR="00AC0EB6" w:rsidRDefault="006174C5" w:rsidP="0012574C">
            <w:pPr>
              <w:ind w:right="144"/>
              <w:rPr>
                <w:rStyle w:val="apple-converted-space"/>
                <w:rFonts w:ascii="Arial" w:hAnsi="Arial" w:cs="Arial"/>
                <w:color w:val="313131"/>
                <w:sz w:val="21"/>
                <w:szCs w:val="21"/>
                <w:shd w:val="clear" w:color="auto" w:fill="F7F8FA"/>
              </w:rPr>
            </w:pPr>
            <w:hyperlink r:id="rId13" w:history="1">
              <w:r w:rsidR="00AC0EB6" w:rsidRPr="00AC0EB6">
                <w:rPr>
                  <w:rStyle w:val="Hyperlink"/>
                  <w:rFonts w:ascii="Arial" w:hAnsi="Arial" w:cs="Arial"/>
                  <w:b/>
                  <w:bdr w:val="none" w:sz="0" w:space="0" w:color="auto" w:frame="1"/>
                </w:rPr>
                <w:t>Grant Resource Center</w:t>
              </w:r>
            </w:hyperlink>
            <w:r w:rsidR="00AC0EB6" w:rsidRPr="00AC0EB6">
              <w:rPr>
                <w:bdr w:val="none" w:sz="0" w:space="0" w:color="auto" w:frame="1"/>
              </w:rPr>
              <w:t> </w:t>
            </w:r>
            <w:r w:rsidR="00AC0EB6" w:rsidRPr="00AC0EB6">
              <w:rPr>
                <w:rFonts w:ascii="Arial" w:hAnsi="Arial" w:cs="Arial"/>
                <w:color w:val="313131"/>
                <w:bdr w:val="none" w:sz="0" w:space="0" w:color="auto" w:frame="1"/>
              </w:rPr>
              <w:t>provides detailed information on Federal funding and Congressional actions, materials to support proposal development -- including abstracts for funded projects, and access to GrantSearch.</w:t>
            </w:r>
          </w:p>
          <w:p w:rsidR="00923A02" w:rsidRDefault="00923A02" w:rsidP="00AC0EB6">
            <w:pPr>
              <w:rPr>
                <w:rFonts w:ascii="Arial" w:hAnsi="Arial" w:cs="Arial"/>
                <w:b/>
                <w:color w:val="313131"/>
                <w:sz w:val="16"/>
                <w:szCs w:val="16"/>
                <w:bdr w:val="none" w:sz="0" w:space="0" w:color="auto" w:frame="1"/>
              </w:rPr>
            </w:pPr>
          </w:p>
          <w:p w:rsidR="00FE1670" w:rsidRPr="00D41D25" w:rsidRDefault="006174C5" w:rsidP="00AC0EB6">
            <w:pPr>
              <w:rPr>
                <w:rFonts w:ascii="Arial" w:hAnsi="Arial" w:cs="Arial"/>
                <w:color w:val="313131"/>
                <w:bdr w:val="none" w:sz="0" w:space="0" w:color="auto" w:frame="1"/>
              </w:rPr>
            </w:pPr>
            <w:hyperlink r:id="rId14" w:history="1">
              <w:r w:rsidR="00FE1670" w:rsidRPr="00D41D25">
                <w:rPr>
                  <w:rStyle w:val="Hyperlink"/>
                  <w:rFonts w:ascii="Arial" w:hAnsi="Arial" w:cs="Arial"/>
                  <w:b/>
                  <w:bdr w:val="none" w:sz="0" w:space="0" w:color="auto" w:frame="1"/>
                </w:rPr>
                <w:t>Good Funding Opportunities and Support</w:t>
              </w:r>
            </w:hyperlink>
            <w:r w:rsidR="00FE1670" w:rsidRPr="00D41D25">
              <w:rPr>
                <w:rFonts w:ascii="Arial" w:hAnsi="Arial" w:cs="Arial"/>
                <w:b/>
                <w:color w:val="313131"/>
                <w:bdr w:val="none" w:sz="0" w:space="0" w:color="auto" w:frame="1"/>
              </w:rPr>
              <w:t xml:space="preserve"> </w:t>
            </w:r>
            <w:r w:rsidR="00FE1670" w:rsidRPr="00D41D25">
              <w:rPr>
                <w:rFonts w:ascii="Arial" w:hAnsi="Arial" w:cs="Arial"/>
                <w:color w:val="313131"/>
                <w:bdr w:val="none" w:sz="0" w:space="0" w:color="auto" w:frame="1"/>
              </w:rPr>
              <w:t>The OSP offers a variety of resources to assist you in identifying appropriate funders for your project or program.</w:t>
            </w:r>
          </w:p>
          <w:p w:rsidR="00FE1670" w:rsidRPr="00537268" w:rsidRDefault="00FE1670" w:rsidP="00AC0EB6">
            <w:pPr>
              <w:rPr>
                <w:rFonts w:ascii="Arial" w:hAnsi="Arial" w:cs="Arial"/>
                <w:color w:val="313131"/>
                <w:sz w:val="16"/>
                <w:szCs w:val="16"/>
                <w:bdr w:val="none" w:sz="0" w:space="0" w:color="auto" w:frame="1"/>
              </w:rPr>
            </w:pPr>
          </w:p>
          <w:p w:rsidR="00FE1670" w:rsidRPr="00D41D25" w:rsidRDefault="006174C5" w:rsidP="00AC0EB6">
            <w:pPr>
              <w:rPr>
                <w:rFonts w:ascii="Arial" w:hAnsi="Arial" w:cs="Arial"/>
                <w:color w:val="313131"/>
                <w:bdr w:val="none" w:sz="0" w:space="0" w:color="auto" w:frame="1"/>
              </w:rPr>
            </w:pPr>
            <w:hyperlink r:id="rId15" w:history="1">
              <w:r w:rsidR="000C332E" w:rsidRPr="00D41D25">
                <w:rPr>
                  <w:rStyle w:val="Hyperlink"/>
                  <w:rFonts w:ascii="Arial" w:hAnsi="Arial" w:cs="Arial"/>
                  <w:b/>
                  <w:bdr w:val="none" w:sz="0" w:space="0" w:color="auto" w:frame="1"/>
                </w:rPr>
                <w:t>Funding</w:t>
              </w:r>
            </w:hyperlink>
            <w:r w:rsidR="000C332E" w:rsidRPr="00D41D25">
              <w:rPr>
                <w:rStyle w:val="Hyperlink"/>
                <w:rFonts w:ascii="Arial" w:hAnsi="Arial" w:cs="Arial"/>
                <w:b/>
                <w:bdr w:val="none" w:sz="0" w:space="0" w:color="auto" w:frame="1"/>
              </w:rPr>
              <w:t xml:space="preserve"> Opportunities Newsletter Archive</w:t>
            </w:r>
            <w:r w:rsidR="00FE1670" w:rsidRPr="00D41D25">
              <w:rPr>
                <w:rFonts w:ascii="Arial" w:hAnsi="Arial" w:cs="Arial"/>
                <w:color w:val="313131"/>
                <w:bdr w:val="none" w:sz="0" w:space="0" w:color="auto" w:frame="1"/>
              </w:rPr>
              <w:t xml:space="preserve"> The OSP electronic newsletter containing compiled information on funding agencies and opportunities.</w:t>
            </w:r>
          </w:p>
          <w:p w:rsidR="00D94779" w:rsidRPr="00C14E48" w:rsidRDefault="00D94779" w:rsidP="00BA2E39">
            <w:pPr>
              <w:rPr>
                <w:rFonts w:ascii="Arial" w:hAnsi="Arial" w:cs="Arial"/>
                <w:b/>
                <w:color w:val="313131"/>
                <w:bdr w:val="none" w:sz="0" w:space="0" w:color="auto" w:frame="1"/>
              </w:rPr>
            </w:pPr>
          </w:p>
        </w:tc>
        <w:tc>
          <w:tcPr>
            <w:tcW w:w="4419" w:type="dxa"/>
            <w:gridSpan w:val="6"/>
            <w:tcBorders>
              <w:top w:val="single" w:sz="12" w:space="0" w:color="auto"/>
              <w:left w:val="single" w:sz="12" w:space="0" w:color="auto"/>
            </w:tcBorders>
          </w:tcPr>
          <w:p w:rsidR="001E276B" w:rsidRPr="001E276B" w:rsidRDefault="000C332E" w:rsidP="00923A02">
            <w:pPr>
              <w:spacing w:before="40"/>
              <w:ind w:left="144"/>
              <w:rPr>
                <w:rFonts w:eastAsiaTheme="minorHAnsi" w:cstheme="minorBidi"/>
                <w:b/>
                <w:i/>
                <w:sz w:val="32"/>
                <w:szCs w:val="32"/>
              </w:rPr>
            </w:pPr>
            <w:r>
              <w:rPr>
                <w:b/>
                <w:i/>
                <w:sz w:val="32"/>
                <w:szCs w:val="32"/>
              </w:rPr>
              <w:t>Recently announced</w:t>
            </w:r>
            <w:r w:rsidR="001E276B" w:rsidRPr="001E276B">
              <w:rPr>
                <w:b/>
                <w:i/>
                <w:sz w:val="32"/>
                <w:szCs w:val="32"/>
              </w:rPr>
              <w:t xml:space="preserve"> funding opportunities are in these disciplines</w:t>
            </w:r>
          </w:p>
          <w:p w:rsidR="001E276B" w:rsidRPr="00467FC1" w:rsidRDefault="006174C5" w:rsidP="00923A02">
            <w:pPr>
              <w:ind w:left="144"/>
              <w:rPr>
                <w:rStyle w:val="Hyperlink"/>
                <w:color w:val="auto"/>
                <w:u w:val="none"/>
              </w:rPr>
            </w:pPr>
            <w:hyperlink w:anchor="edu" w:history="1">
              <w:r w:rsidR="001E276B">
                <w:rPr>
                  <w:rStyle w:val="Hyperlink"/>
                  <w:b/>
                  <w:sz w:val="28"/>
                  <w:szCs w:val="28"/>
                </w:rPr>
                <w:t>Education</w:t>
              </w:r>
            </w:hyperlink>
          </w:p>
          <w:p w:rsidR="001E276B" w:rsidRDefault="006174C5" w:rsidP="00923A02">
            <w:pPr>
              <w:ind w:left="144"/>
              <w:rPr>
                <w:b/>
                <w:sz w:val="28"/>
                <w:szCs w:val="28"/>
              </w:rPr>
            </w:pPr>
            <w:hyperlink w:anchor="hea" w:history="1">
              <w:r w:rsidR="001E276B">
                <w:rPr>
                  <w:rStyle w:val="Hyperlink"/>
                  <w:b/>
                  <w:sz w:val="28"/>
                  <w:szCs w:val="28"/>
                </w:rPr>
                <w:t>Health</w:t>
              </w:r>
            </w:hyperlink>
          </w:p>
          <w:p w:rsidR="001E276B" w:rsidRDefault="006174C5" w:rsidP="00923A02">
            <w:pPr>
              <w:ind w:left="144"/>
              <w:rPr>
                <w:b/>
                <w:sz w:val="28"/>
                <w:szCs w:val="28"/>
              </w:rPr>
            </w:pPr>
            <w:hyperlink w:anchor="hum" w:history="1">
              <w:r w:rsidR="001E276B">
                <w:rPr>
                  <w:rStyle w:val="Hyperlink"/>
                  <w:b/>
                  <w:sz w:val="28"/>
                  <w:szCs w:val="28"/>
                </w:rPr>
                <w:t>Humanities and Language</w:t>
              </w:r>
            </w:hyperlink>
          </w:p>
          <w:p w:rsidR="001E276B" w:rsidRPr="003E3818" w:rsidRDefault="006174C5" w:rsidP="00923A02">
            <w:pPr>
              <w:ind w:left="144"/>
              <w:rPr>
                <w:rStyle w:val="Hyperlink"/>
              </w:rPr>
            </w:pPr>
            <w:hyperlink w:anchor="lib" w:history="1">
              <w:r w:rsidR="001E276B" w:rsidRPr="003E3818">
                <w:rPr>
                  <w:rStyle w:val="Hyperlink"/>
                  <w:b/>
                  <w:sz w:val="28"/>
                  <w:szCs w:val="28"/>
                </w:rPr>
                <w:t>Library and Museum</w:t>
              </w:r>
            </w:hyperlink>
          </w:p>
          <w:p w:rsidR="001E276B" w:rsidRDefault="006174C5" w:rsidP="00923A02">
            <w:pPr>
              <w:ind w:left="144"/>
            </w:pPr>
            <w:hyperlink w:anchor="phy" w:history="1">
              <w:r w:rsidR="001E276B">
                <w:rPr>
                  <w:rStyle w:val="Hyperlink"/>
                  <w:b/>
                  <w:sz w:val="28"/>
                  <w:szCs w:val="28"/>
                </w:rPr>
                <w:t>Physical Sciences and Math</w:t>
              </w:r>
            </w:hyperlink>
          </w:p>
          <w:p w:rsidR="001E276B" w:rsidRDefault="006174C5" w:rsidP="00923A02">
            <w:pPr>
              <w:ind w:left="144"/>
              <w:rPr>
                <w:b/>
                <w:sz w:val="28"/>
                <w:szCs w:val="28"/>
              </w:rPr>
            </w:pPr>
            <w:hyperlink w:anchor="soc" w:history="1">
              <w:r w:rsidR="001E276B">
                <w:rPr>
                  <w:rStyle w:val="Hyperlink"/>
                  <w:b/>
                  <w:sz w:val="28"/>
                  <w:szCs w:val="28"/>
                </w:rPr>
                <w:t>Social Sciences</w:t>
              </w:r>
            </w:hyperlink>
          </w:p>
          <w:p w:rsidR="001E276B" w:rsidRPr="00F710D2" w:rsidRDefault="001E276B" w:rsidP="00923A02">
            <w:pPr>
              <w:spacing w:after="40"/>
              <w:ind w:left="144"/>
              <w:rPr>
                <w:b/>
                <w:color w:val="0000FF"/>
                <w:sz w:val="28"/>
                <w:szCs w:val="28"/>
                <w:u w:val="single"/>
              </w:rPr>
            </w:pPr>
          </w:p>
        </w:tc>
      </w:tr>
      <w:tr w:rsidR="0022569E" w:rsidTr="0022569E">
        <w:trPr>
          <w:trHeight w:val="335"/>
        </w:trPr>
        <w:tc>
          <w:tcPr>
            <w:tcW w:w="1454" w:type="dxa"/>
            <w:vMerge w:val="restart"/>
            <w:tcBorders>
              <w:top w:val="single" w:sz="12" w:space="0" w:color="auto"/>
            </w:tcBorders>
            <w:vAlign w:val="center"/>
          </w:tcPr>
          <w:p w:rsidR="0022569E" w:rsidRPr="00C34C35" w:rsidRDefault="006174C5" w:rsidP="002719E0">
            <w:pPr>
              <w:jc w:val="center"/>
              <w:rPr>
                <w:rFonts w:asciiTheme="minorHAnsi" w:hAnsiTheme="minorHAnsi" w:cs="Arial"/>
                <w:b/>
                <w:i/>
                <w:iCs/>
                <w:sz w:val="24"/>
                <w:szCs w:val="24"/>
              </w:rPr>
            </w:pPr>
            <w:hyperlink r:id="rId16" w:history="1">
              <w:r w:rsidR="0022569E" w:rsidRPr="00A1254B">
                <w:rPr>
                  <w:rStyle w:val="Hyperlink"/>
                  <w:sz w:val="24"/>
                  <w:szCs w:val="24"/>
                </w:rPr>
                <w:t>Workshops Calendar</w:t>
              </w:r>
            </w:hyperlink>
          </w:p>
        </w:tc>
        <w:tc>
          <w:tcPr>
            <w:tcW w:w="1479" w:type="dxa"/>
            <w:vMerge w:val="restart"/>
            <w:tcBorders>
              <w:top w:val="single" w:sz="12" w:space="0" w:color="auto"/>
            </w:tcBorders>
            <w:vAlign w:val="center"/>
          </w:tcPr>
          <w:p w:rsidR="0022569E" w:rsidRPr="00347E61" w:rsidRDefault="006174C5" w:rsidP="002719E0">
            <w:pPr>
              <w:jc w:val="center"/>
              <w:rPr>
                <w:rFonts w:eastAsiaTheme="minorHAnsi" w:cstheme="minorBidi"/>
                <w:sz w:val="24"/>
                <w:szCs w:val="24"/>
              </w:rPr>
            </w:pPr>
            <w:hyperlink r:id="rId17" w:history="1">
              <w:r w:rsidR="0022569E">
                <w:rPr>
                  <w:rStyle w:val="Hyperlink"/>
                  <w:sz w:val="24"/>
                  <w:szCs w:val="24"/>
                </w:rPr>
                <w:t>Institutional Review Board</w:t>
              </w:r>
            </w:hyperlink>
          </w:p>
        </w:tc>
        <w:tc>
          <w:tcPr>
            <w:tcW w:w="1454" w:type="dxa"/>
            <w:gridSpan w:val="2"/>
            <w:vMerge w:val="restart"/>
            <w:tcBorders>
              <w:top w:val="single" w:sz="12" w:space="0" w:color="auto"/>
            </w:tcBorders>
            <w:vAlign w:val="center"/>
          </w:tcPr>
          <w:p w:rsidR="0022569E" w:rsidRPr="00347E61" w:rsidRDefault="006174C5" w:rsidP="002719E0">
            <w:pPr>
              <w:jc w:val="center"/>
              <w:rPr>
                <w:color w:val="0000FF"/>
                <w:sz w:val="24"/>
                <w:szCs w:val="24"/>
                <w:u w:val="single"/>
              </w:rPr>
            </w:pPr>
            <w:hyperlink r:id="rId18" w:history="1">
              <w:r w:rsidR="0022569E">
                <w:rPr>
                  <w:rStyle w:val="Hyperlink"/>
                  <w:sz w:val="24"/>
                  <w:szCs w:val="24"/>
                </w:rPr>
                <w:t>Preparing Proposals</w:t>
              </w:r>
            </w:hyperlink>
          </w:p>
        </w:tc>
        <w:tc>
          <w:tcPr>
            <w:tcW w:w="1676" w:type="dxa"/>
            <w:gridSpan w:val="2"/>
            <w:vMerge w:val="restart"/>
            <w:tcBorders>
              <w:top w:val="single" w:sz="12" w:space="0" w:color="auto"/>
            </w:tcBorders>
            <w:vAlign w:val="center"/>
          </w:tcPr>
          <w:p w:rsidR="0022569E" w:rsidRPr="00347E61" w:rsidRDefault="006174C5" w:rsidP="002719E0">
            <w:pPr>
              <w:jc w:val="center"/>
              <w:rPr>
                <w:rFonts w:eastAsiaTheme="minorHAnsi" w:cstheme="minorBidi"/>
                <w:sz w:val="24"/>
                <w:szCs w:val="24"/>
              </w:rPr>
            </w:pPr>
            <w:hyperlink r:id="rId19" w:history="1">
              <w:r w:rsidR="0022569E">
                <w:rPr>
                  <w:rStyle w:val="Hyperlink"/>
                  <w:sz w:val="24"/>
                  <w:szCs w:val="24"/>
                </w:rPr>
                <w:t>Proposal Writing Resources</w:t>
              </w:r>
            </w:hyperlink>
          </w:p>
        </w:tc>
        <w:tc>
          <w:tcPr>
            <w:tcW w:w="1454" w:type="dxa"/>
            <w:gridSpan w:val="3"/>
            <w:vMerge w:val="restart"/>
            <w:tcBorders>
              <w:top w:val="single" w:sz="12" w:space="0" w:color="auto"/>
            </w:tcBorders>
            <w:vAlign w:val="center"/>
          </w:tcPr>
          <w:p w:rsidR="0022569E" w:rsidRPr="00347E61" w:rsidRDefault="006174C5" w:rsidP="002719E0">
            <w:pPr>
              <w:jc w:val="center"/>
              <w:rPr>
                <w:rFonts w:eastAsiaTheme="minorHAnsi" w:cstheme="minorBidi"/>
                <w:sz w:val="24"/>
                <w:szCs w:val="24"/>
              </w:rPr>
            </w:pPr>
            <w:hyperlink r:id="rId20" w:history="1">
              <w:r w:rsidR="0022569E">
                <w:rPr>
                  <w:rStyle w:val="Hyperlink"/>
                  <w:sz w:val="24"/>
                  <w:szCs w:val="24"/>
                </w:rPr>
                <w:t>Recent Awards</w:t>
              </w:r>
            </w:hyperlink>
          </w:p>
        </w:tc>
        <w:tc>
          <w:tcPr>
            <w:tcW w:w="2452" w:type="dxa"/>
            <w:gridSpan w:val="4"/>
            <w:tcBorders>
              <w:top w:val="single" w:sz="12" w:space="0" w:color="auto"/>
            </w:tcBorders>
            <w:vAlign w:val="bottom"/>
          </w:tcPr>
          <w:p w:rsidR="0022569E" w:rsidRPr="00876AA8" w:rsidRDefault="0022569E" w:rsidP="00934DA4">
            <w:pPr>
              <w:jc w:val="center"/>
              <w:rPr>
                <w:rFonts w:asciiTheme="minorHAnsi" w:hAnsiTheme="minorHAnsi" w:cs="Arial"/>
                <w:b/>
                <w:i/>
                <w:iCs/>
              </w:rPr>
            </w:pPr>
            <w:r w:rsidRPr="00876AA8">
              <w:rPr>
                <w:b/>
                <w:bCs/>
                <w:u w:val="single"/>
              </w:rPr>
              <w:t>Office Hours</w:t>
            </w:r>
          </w:p>
        </w:tc>
      </w:tr>
      <w:tr w:rsidR="0022569E" w:rsidTr="0022569E">
        <w:trPr>
          <w:trHeight w:val="249"/>
        </w:trPr>
        <w:tc>
          <w:tcPr>
            <w:tcW w:w="1454" w:type="dxa"/>
            <w:vMerge/>
            <w:vAlign w:val="center"/>
          </w:tcPr>
          <w:p w:rsidR="0022569E" w:rsidRDefault="0022569E" w:rsidP="002719E0">
            <w:pPr>
              <w:jc w:val="center"/>
            </w:pPr>
          </w:p>
        </w:tc>
        <w:tc>
          <w:tcPr>
            <w:tcW w:w="1479" w:type="dxa"/>
            <w:vMerge/>
            <w:vAlign w:val="center"/>
          </w:tcPr>
          <w:p w:rsidR="0022569E" w:rsidRDefault="0022569E" w:rsidP="002719E0">
            <w:pPr>
              <w:jc w:val="center"/>
            </w:pPr>
          </w:p>
        </w:tc>
        <w:tc>
          <w:tcPr>
            <w:tcW w:w="1454" w:type="dxa"/>
            <w:gridSpan w:val="2"/>
            <w:vMerge/>
            <w:vAlign w:val="center"/>
          </w:tcPr>
          <w:p w:rsidR="0022569E" w:rsidRDefault="0022569E" w:rsidP="002719E0">
            <w:pPr>
              <w:jc w:val="center"/>
            </w:pPr>
          </w:p>
        </w:tc>
        <w:tc>
          <w:tcPr>
            <w:tcW w:w="1676" w:type="dxa"/>
            <w:gridSpan w:val="2"/>
            <w:vMerge/>
            <w:vAlign w:val="center"/>
          </w:tcPr>
          <w:p w:rsidR="0022569E" w:rsidRDefault="0022569E" w:rsidP="002719E0">
            <w:pPr>
              <w:jc w:val="center"/>
            </w:pPr>
          </w:p>
        </w:tc>
        <w:tc>
          <w:tcPr>
            <w:tcW w:w="1454" w:type="dxa"/>
            <w:gridSpan w:val="3"/>
            <w:vMerge/>
            <w:vAlign w:val="center"/>
          </w:tcPr>
          <w:p w:rsidR="0022569E" w:rsidRDefault="0022569E" w:rsidP="002719E0">
            <w:pPr>
              <w:jc w:val="center"/>
            </w:pPr>
          </w:p>
        </w:tc>
        <w:tc>
          <w:tcPr>
            <w:tcW w:w="1062" w:type="dxa"/>
            <w:vAlign w:val="center"/>
          </w:tcPr>
          <w:p w:rsidR="0022569E" w:rsidRPr="001755A8" w:rsidRDefault="0022569E" w:rsidP="002719E0">
            <w:pPr>
              <w:rPr>
                <w:rFonts w:eastAsiaTheme="minorHAnsi"/>
                <w:sz w:val="20"/>
                <w:szCs w:val="20"/>
              </w:rPr>
            </w:pPr>
            <w:r w:rsidRPr="001755A8">
              <w:rPr>
                <w:sz w:val="20"/>
                <w:szCs w:val="20"/>
              </w:rPr>
              <w:t>Monday:      </w:t>
            </w:r>
          </w:p>
        </w:tc>
        <w:tc>
          <w:tcPr>
            <w:tcW w:w="1390" w:type="dxa"/>
            <w:gridSpan w:val="3"/>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171"/>
        </w:trPr>
        <w:tc>
          <w:tcPr>
            <w:tcW w:w="1454" w:type="dxa"/>
            <w:vMerge/>
            <w:vAlign w:val="center"/>
          </w:tcPr>
          <w:p w:rsidR="0022569E" w:rsidRDefault="0022569E" w:rsidP="002719E0">
            <w:pPr>
              <w:jc w:val="center"/>
            </w:pPr>
          </w:p>
        </w:tc>
        <w:tc>
          <w:tcPr>
            <w:tcW w:w="1479" w:type="dxa"/>
            <w:vMerge/>
            <w:vAlign w:val="center"/>
          </w:tcPr>
          <w:p w:rsidR="0022569E" w:rsidRDefault="0022569E" w:rsidP="002719E0">
            <w:pPr>
              <w:jc w:val="center"/>
            </w:pPr>
          </w:p>
        </w:tc>
        <w:tc>
          <w:tcPr>
            <w:tcW w:w="1454" w:type="dxa"/>
            <w:gridSpan w:val="2"/>
            <w:vMerge/>
            <w:vAlign w:val="center"/>
          </w:tcPr>
          <w:p w:rsidR="0022569E" w:rsidRDefault="0022569E" w:rsidP="002719E0">
            <w:pPr>
              <w:jc w:val="center"/>
            </w:pPr>
          </w:p>
        </w:tc>
        <w:tc>
          <w:tcPr>
            <w:tcW w:w="1676" w:type="dxa"/>
            <w:gridSpan w:val="2"/>
            <w:vMerge/>
            <w:vAlign w:val="center"/>
          </w:tcPr>
          <w:p w:rsidR="0022569E" w:rsidRDefault="0022569E" w:rsidP="002719E0">
            <w:pPr>
              <w:jc w:val="center"/>
            </w:pPr>
          </w:p>
        </w:tc>
        <w:tc>
          <w:tcPr>
            <w:tcW w:w="1454" w:type="dxa"/>
            <w:gridSpan w:val="3"/>
            <w:vMerge/>
            <w:vAlign w:val="center"/>
          </w:tcPr>
          <w:p w:rsidR="0022569E" w:rsidRDefault="0022569E" w:rsidP="002719E0">
            <w:pPr>
              <w:jc w:val="center"/>
            </w:pPr>
          </w:p>
        </w:tc>
        <w:tc>
          <w:tcPr>
            <w:tcW w:w="1062" w:type="dxa"/>
            <w:shd w:val="clear" w:color="auto" w:fill="D9D9D9" w:themeFill="background1" w:themeFillShade="D9"/>
            <w:vAlign w:val="center"/>
          </w:tcPr>
          <w:p w:rsidR="0022569E" w:rsidRPr="001755A8" w:rsidRDefault="0022569E" w:rsidP="002719E0">
            <w:pPr>
              <w:rPr>
                <w:rFonts w:eastAsiaTheme="minorHAnsi"/>
                <w:sz w:val="20"/>
                <w:szCs w:val="20"/>
              </w:rPr>
            </w:pPr>
            <w:r w:rsidRPr="001755A8">
              <w:rPr>
                <w:sz w:val="20"/>
                <w:szCs w:val="20"/>
              </w:rPr>
              <w:t>Tuesday:      </w:t>
            </w:r>
          </w:p>
        </w:tc>
        <w:tc>
          <w:tcPr>
            <w:tcW w:w="1390" w:type="dxa"/>
            <w:gridSpan w:val="3"/>
            <w:shd w:val="clear" w:color="auto" w:fill="D9D9D9" w:themeFill="background1" w:themeFillShade="D9"/>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249"/>
        </w:trPr>
        <w:tc>
          <w:tcPr>
            <w:tcW w:w="1454" w:type="dxa"/>
            <w:vMerge/>
          </w:tcPr>
          <w:p w:rsidR="0022569E" w:rsidRPr="00043D76" w:rsidRDefault="0022569E" w:rsidP="002719E0">
            <w:pPr>
              <w:jc w:val="center"/>
              <w:rPr>
                <w:sz w:val="24"/>
                <w:szCs w:val="24"/>
              </w:rPr>
            </w:pPr>
          </w:p>
        </w:tc>
        <w:tc>
          <w:tcPr>
            <w:tcW w:w="1479" w:type="dxa"/>
            <w:vMerge/>
          </w:tcPr>
          <w:p w:rsidR="0022569E" w:rsidRPr="00043D76" w:rsidRDefault="0022569E" w:rsidP="002719E0">
            <w:pPr>
              <w:jc w:val="center"/>
              <w:rPr>
                <w:sz w:val="24"/>
                <w:szCs w:val="24"/>
              </w:rPr>
            </w:pPr>
          </w:p>
        </w:tc>
        <w:tc>
          <w:tcPr>
            <w:tcW w:w="1454" w:type="dxa"/>
            <w:gridSpan w:val="2"/>
            <w:vMerge/>
          </w:tcPr>
          <w:p w:rsidR="0022569E" w:rsidRPr="00043D76" w:rsidRDefault="0022569E" w:rsidP="002719E0">
            <w:pPr>
              <w:jc w:val="center"/>
              <w:rPr>
                <w:sz w:val="24"/>
                <w:szCs w:val="24"/>
              </w:rPr>
            </w:pPr>
          </w:p>
        </w:tc>
        <w:tc>
          <w:tcPr>
            <w:tcW w:w="1676" w:type="dxa"/>
            <w:gridSpan w:val="2"/>
            <w:vMerge/>
          </w:tcPr>
          <w:p w:rsidR="0022569E" w:rsidRPr="00043D76" w:rsidRDefault="0022569E" w:rsidP="002719E0">
            <w:pPr>
              <w:jc w:val="center"/>
              <w:rPr>
                <w:sz w:val="24"/>
                <w:szCs w:val="24"/>
              </w:rPr>
            </w:pPr>
          </w:p>
        </w:tc>
        <w:tc>
          <w:tcPr>
            <w:tcW w:w="1454" w:type="dxa"/>
            <w:gridSpan w:val="3"/>
            <w:vMerge/>
          </w:tcPr>
          <w:p w:rsidR="0022569E" w:rsidRPr="00043D76" w:rsidRDefault="0022569E" w:rsidP="002719E0">
            <w:pPr>
              <w:jc w:val="center"/>
              <w:rPr>
                <w:sz w:val="24"/>
                <w:szCs w:val="24"/>
              </w:rPr>
            </w:pPr>
          </w:p>
        </w:tc>
        <w:tc>
          <w:tcPr>
            <w:tcW w:w="1062" w:type="dxa"/>
            <w:vAlign w:val="center"/>
          </w:tcPr>
          <w:p w:rsidR="0022569E" w:rsidRPr="001755A8" w:rsidRDefault="0022569E" w:rsidP="002719E0">
            <w:pPr>
              <w:rPr>
                <w:rFonts w:eastAsiaTheme="minorHAnsi"/>
                <w:sz w:val="20"/>
                <w:szCs w:val="20"/>
              </w:rPr>
            </w:pPr>
            <w:r w:rsidRPr="001755A8">
              <w:rPr>
                <w:sz w:val="20"/>
                <w:szCs w:val="20"/>
              </w:rPr>
              <w:t>Wednesday:</w:t>
            </w:r>
          </w:p>
        </w:tc>
        <w:tc>
          <w:tcPr>
            <w:tcW w:w="1390" w:type="dxa"/>
            <w:gridSpan w:val="3"/>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249"/>
        </w:trPr>
        <w:tc>
          <w:tcPr>
            <w:tcW w:w="1454" w:type="dxa"/>
            <w:vMerge/>
            <w:vAlign w:val="center"/>
          </w:tcPr>
          <w:p w:rsidR="0022569E" w:rsidRDefault="0022569E" w:rsidP="002719E0">
            <w:pPr>
              <w:jc w:val="center"/>
            </w:pPr>
          </w:p>
        </w:tc>
        <w:tc>
          <w:tcPr>
            <w:tcW w:w="1479" w:type="dxa"/>
            <w:vMerge/>
            <w:vAlign w:val="center"/>
          </w:tcPr>
          <w:p w:rsidR="0022569E" w:rsidRDefault="0022569E" w:rsidP="002719E0">
            <w:pPr>
              <w:jc w:val="center"/>
            </w:pPr>
          </w:p>
        </w:tc>
        <w:tc>
          <w:tcPr>
            <w:tcW w:w="1454" w:type="dxa"/>
            <w:gridSpan w:val="2"/>
            <w:vMerge/>
            <w:vAlign w:val="center"/>
          </w:tcPr>
          <w:p w:rsidR="0022569E" w:rsidRDefault="0022569E" w:rsidP="002719E0">
            <w:pPr>
              <w:jc w:val="center"/>
            </w:pPr>
          </w:p>
        </w:tc>
        <w:tc>
          <w:tcPr>
            <w:tcW w:w="1676" w:type="dxa"/>
            <w:gridSpan w:val="2"/>
            <w:vMerge/>
            <w:vAlign w:val="center"/>
          </w:tcPr>
          <w:p w:rsidR="0022569E" w:rsidRDefault="0022569E" w:rsidP="002719E0">
            <w:pPr>
              <w:jc w:val="center"/>
            </w:pPr>
          </w:p>
        </w:tc>
        <w:tc>
          <w:tcPr>
            <w:tcW w:w="1454" w:type="dxa"/>
            <w:gridSpan w:val="3"/>
            <w:vMerge/>
            <w:vAlign w:val="center"/>
          </w:tcPr>
          <w:p w:rsidR="0022569E" w:rsidRDefault="0022569E" w:rsidP="002719E0">
            <w:pPr>
              <w:jc w:val="center"/>
            </w:pPr>
          </w:p>
        </w:tc>
        <w:tc>
          <w:tcPr>
            <w:tcW w:w="1062" w:type="dxa"/>
            <w:shd w:val="clear" w:color="auto" w:fill="D9D9D9" w:themeFill="background1" w:themeFillShade="D9"/>
            <w:vAlign w:val="center"/>
          </w:tcPr>
          <w:p w:rsidR="0022569E" w:rsidRPr="001755A8" w:rsidRDefault="0022569E" w:rsidP="002719E0">
            <w:pPr>
              <w:rPr>
                <w:rFonts w:eastAsiaTheme="minorHAnsi"/>
                <w:sz w:val="20"/>
                <w:szCs w:val="20"/>
              </w:rPr>
            </w:pPr>
            <w:r w:rsidRPr="001755A8">
              <w:rPr>
                <w:sz w:val="20"/>
                <w:szCs w:val="20"/>
              </w:rPr>
              <w:t>Thursday:    </w:t>
            </w:r>
          </w:p>
        </w:tc>
        <w:tc>
          <w:tcPr>
            <w:tcW w:w="1390" w:type="dxa"/>
            <w:gridSpan w:val="3"/>
            <w:shd w:val="clear" w:color="auto" w:fill="D9D9D9" w:themeFill="background1" w:themeFillShade="D9"/>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283"/>
        </w:trPr>
        <w:tc>
          <w:tcPr>
            <w:tcW w:w="1454" w:type="dxa"/>
            <w:vMerge/>
            <w:tcBorders>
              <w:bottom w:val="single" w:sz="12" w:space="0" w:color="auto"/>
            </w:tcBorders>
            <w:vAlign w:val="center"/>
          </w:tcPr>
          <w:p w:rsidR="0022569E" w:rsidRDefault="0022569E" w:rsidP="002719E0">
            <w:pPr>
              <w:jc w:val="center"/>
            </w:pPr>
          </w:p>
        </w:tc>
        <w:tc>
          <w:tcPr>
            <w:tcW w:w="1479" w:type="dxa"/>
            <w:vMerge/>
            <w:tcBorders>
              <w:bottom w:val="single" w:sz="12" w:space="0" w:color="auto"/>
            </w:tcBorders>
            <w:vAlign w:val="center"/>
          </w:tcPr>
          <w:p w:rsidR="0022569E" w:rsidRDefault="0022569E" w:rsidP="002719E0">
            <w:pPr>
              <w:jc w:val="center"/>
            </w:pPr>
          </w:p>
        </w:tc>
        <w:tc>
          <w:tcPr>
            <w:tcW w:w="1454" w:type="dxa"/>
            <w:gridSpan w:val="2"/>
            <w:vMerge/>
            <w:tcBorders>
              <w:bottom w:val="single" w:sz="12" w:space="0" w:color="auto"/>
            </w:tcBorders>
            <w:vAlign w:val="center"/>
          </w:tcPr>
          <w:p w:rsidR="0022569E" w:rsidRDefault="0022569E" w:rsidP="002719E0">
            <w:pPr>
              <w:jc w:val="center"/>
            </w:pPr>
          </w:p>
        </w:tc>
        <w:tc>
          <w:tcPr>
            <w:tcW w:w="1676" w:type="dxa"/>
            <w:gridSpan w:val="2"/>
            <w:vMerge/>
            <w:tcBorders>
              <w:bottom w:val="single" w:sz="12" w:space="0" w:color="auto"/>
            </w:tcBorders>
            <w:vAlign w:val="center"/>
          </w:tcPr>
          <w:p w:rsidR="0022569E" w:rsidRDefault="0022569E" w:rsidP="002719E0">
            <w:pPr>
              <w:jc w:val="center"/>
            </w:pPr>
          </w:p>
        </w:tc>
        <w:tc>
          <w:tcPr>
            <w:tcW w:w="1454" w:type="dxa"/>
            <w:gridSpan w:val="3"/>
            <w:vMerge/>
            <w:tcBorders>
              <w:bottom w:val="single" w:sz="12" w:space="0" w:color="auto"/>
            </w:tcBorders>
            <w:vAlign w:val="center"/>
          </w:tcPr>
          <w:p w:rsidR="0022569E" w:rsidRDefault="0022569E" w:rsidP="002719E0">
            <w:pPr>
              <w:jc w:val="center"/>
            </w:pPr>
          </w:p>
        </w:tc>
        <w:tc>
          <w:tcPr>
            <w:tcW w:w="1062" w:type="dxa"/>
            <w:tcBorders>
              <w:bottom w:val="single" w:sz="12" w:space="0" w:color="auto"/>
            </w:tcBorders>
            <w:vAlign w:val="center"/>
          </w:tcPr>
          <w:p w:rsidR="0022569E" w:rsidRPr="001755A8" w:rsidRDefault="0022569E" w:rsidP="00934DA4">
            <w:pPr>
              <w:rPr>
                <w:rFonts w:eastAsiaTheme="minorHAnsi"/>
                <w:sz w:val="20"/>
                <w:szCs w:val="20"/>
              </w:rPr>
            </w:pPr>
            <w:r w:rsidRPr="001755A8">
              <w:rPr>
                <w:sz w:val="20"/>
                <w:szCs w:val="20"/>
              </w:rPr>
              <w:t>Friday:          </w:t>
            </w:r>
          </w:p>
        </w:tc>
        <w:tc>
          <w:tcPr>
            <w:tcW w:w="1390" w:type="dxa"/>
            <w:gridSpan w:val="3"/>
            <w:tcBorders>
              <w:bottom w:val="single" w:sz="12" w:space="0" w:color="auto"/>
            </w:tcBorders>
          </w:tcPr>
          <w:p w:rsidR="0022569E" w:rsidRPr="001755A8" w:rsidRDefault="0022569E" w:rsidP="00934DA4">
            <w:pPr>
              <w:jc w:val="center"/>
              <w:rPr>
                <w:rFonts w:eastAsiaTheme="minorHAnsi"/>
                <w:sz w:val="20"/>
                <w:szCs w:val="20"/>
              </w:rPr>
            </w:pPr>
            <w:r w:rsidRPr="001755A8">
              <w:rPr>
                <w:sz w:val="20"/>
                <w:szCs w:val="20"/>
              </w:rPr>
              <w:t>8:30-4:30</w:t>
            </w:r>
          </w:p>
        </w:tc>
      </w:tr>
    </w:tbl>
    <w:p w:rsidR="00BA6317" w:rsidRDefault="00BA6317"/>
    <w:p w:rsidR="00D94779" w:rsidRDefault="00D94779"/>
    <w:p w:rsidR="00D94779" w:rsidRDefault="00D94779"/>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rsidP="00A2599C">
      <w:pPr>
        <w:pStyle w:val="PlainText"/>
        <w:rPr>
          <w:rFonts w:ascii="Calibri" w:hAnsi="Calibri"/>
          <w:b/>
          <w:sz w:val="28"/>
          <w:szCs w:val="28"/>
          <w:u w:val="single"/>
        </w:rPr>
      </w:pPr>
      <w:bookmarkStart w:id="0" w:name="edu"/>
      <w:r>
        <w:rPr>
          <w:rFonts w:ascii="Calibri" w:hAnsi="Calibri"/>
          <w:b/>
          <w:sz w:val="28"/>
          <w:szCs w:val="28"/>
          <w:u w:val="single"/>
        </w:rPr>
        <w:lastRenderedPageBreak/>
        <w:t>Education</w:t>
      </w:r>
    </w:p>
    <w:p w:rsidR="00376826" w:rsidRDefault="00376826" w:rsidP="00376826">
      <w:pPr>
        <w:shd w:val="clear" w:color="auto" w:fill="FFFFFF"/>
        <w:spacing w:line="300" w:lineRule="atLeast"/>
        <w:rPr>
          <w:rFonts w:cs="Arial"/>
          <w:b/>
          <w:sz w:val="20"/>
          <w:szCs w:val="20"/>
          <w:u w:val="single"/>
        </w:rPr>
      </w:pPr>
    </w:p>
    <w:p w:rsidR="00376826" w:rsidRPr="00376826" w:rsidRDefault="00376826" w:rsidP="00A2599C">
      <w:pPr>
        <w:pStyle w:val="PlainText"/>
        <w:pBdr>
          <w:bottom w:val="single" w:sz="6" w:space="1" w:color="auto"/>
        </w:pBdr>
        <w:rPr>
          <w:rFonts w:asciiTheme="minorHAnsi" w:hAnsiTheme="minorHAnsi"/>
          <w:sz w:val="22"/>
          <w:szCs w:val="22"/>
        </w:rPr>
      </w:pPr>
      <w:r w:rsidRPr="00376826">
        <w:rPr>
          <w:rFonts w:asciiTheme="minorHAnsi" w:hAnsiTheme="minorHAnsi"/>
          <w:b/>
          <w:sz w:val="22"/>
          <w:szCs w:val="22"/>
        </w:rPr>
        <w:t>Discovery Research K-12 (DRK-12)</w:t>
      </w:r>
      <w:r>
        <w:rPr>
          <w:rFonts w:asciiTheme="minorHAnsi" w:hAnsiTheme="minorHAnsi"/>
          <w:b/>
          <w:sz w:val="22"/>
          <w:szCs w:val="22"/>
        </w:rPr>
        <w:t xml:space="preserve">; </w:t>
      </w:r>
      <w:r w:rsidRPr="00376826">
        <w:rPr>
          <w:rFonts w:asciiTheme="minorHAnsi" w:hAnsiTheme="minorHAnsi"/>
          <w:b/>
          <w:sz w:val="22"/>
          <w:szCs w:val="22"/>
        </w:rPr>
        <w:t>National Science Foundation (NSF)</w:t>
      </w:r>
      <w:r>
        <w:rPr>
          <w:rFonts w:asciiTheme="minorHAnsi" w:hAnsiTheme="minorHAnsi"/>
          <w:b/>
          <w:sz w:val="22"/>
          <w:szCs w:val="22"/>
        </w:rPr>
        <w:t xml:space="preserve">, </w:t>
      </w:r>
      <w:r w:rsidRPr="00376826">
        <w:rPr>
          <w:rFonts w:asciiTheme="minorHAnsi" w:hAnsiTheme="minorHAnsi"/>
          <w:b/>
          <w:sz w:val="22"/>
          <w:szCs w:val="22"/>
        </w:rPr>
        <w:t>Directorate for Education and Human Resources (EHR)</w:t>
      </w:r>
      <w:r>
        <w:rPr>
          <w:rFonts w:asciiTheme="minorHAnsi" w:hAnsiTheme="minorHAnsi"/>
          <w:b/>
          <w:sz w:val="22"/>
          <w:szCs w:val="22"/>
        </w:rPr>
        <w:t xml:space="preserve">, </w:t>
      </w:r>
      <w:r w:rsidRPr="00376826">
        <w:rPr>
          <w:rFonts w:asciiTheme="minorHAnsi" w:hAnsiTheme="minorHAnsi"/>
          <w:b/>
          <w:sz w:val="22"/>
          <w:szCs w:val="22"/>
        </w:rPr>
        <w:t>Division of Research on Learning in Formal and Informal Settings (DRL)</w:t>
      </w:r>
      <w:r>
        <w:rPr>
          <w:rFonts w:asciiTheme="minorHAnsi" w:hAnsiTheme="minorHAnsi"/>
          <w:b/>
          <w:sz w:val="22"/>
          <w:szCs w:val="22"/>
        </w:rPr>
        <w:t>:</w:t>
      </w:r>
      <w:r w:rsidRPr="00376826">
        <w:rPr>
          <w:rFonts w:ascii="Verdana" w:hAnsi="Verdana"/>
          <w:color w:val="324674"/>
          <w:sz w:val="16"/>
          <w:szCs w:val="16"/>
          <w:shd w:val="clear" w:color="auto" w:fill="FFFFFF"/>
        </w:rPr>
        <w:t xml:space="preserve"> </w:t>
      </w:r>
      <w:r w:rsidRPr="00376826">
        <w:rPr>
          <w:rFonts w:asciiTheme="minorHAnsi" w:hAnsiTheme="minorHAnsi"/>
          <w:sz w:val="22"/>
          <w:szCs w:val="22"/>
        </w:rPr>
        <w:t>seeks to significantly enhance the learning and teaching of science, technology, engineering and mathematics (STEM) by preK-12 students and teachers, through research and development of innovative resources, models and tools (RMTs).</w:t>
      </w:r>
      <w:r>
        <w:rPr>
          <w:rFonts w:asciiTheme="minorHAnsi" w:hAnsiTheme="minorHAnsi"/>
          <w:b/>
          <w:sz w:val="22"/>
          <w:szCs w:val="22"/>
        </w:rPr>
        <w:t xml:space="preserve"> </w:t>
      </w:r>
      <w:r>
        <w:rPr>
          <w:rFonts w:asciiTheme="minorHAnsi" w:hAnsiTheme="minorHAnsi"/>
          <w:sz w:val="22"/>
          <w:szCs w:val="22"/>
        </w:rPr>
        <w:t xml:space="preserve">Proposals are due October 16, 2014. For more information, visit </w:t>
      </w:r>
      <w:hyperlink r:id="rId21" w:history="1">
        <w:r w:rsidRPr="00376826">
          <w:rPr>
            <w:rStyle w:val="Hyperlink"/>
            <w:rFonts w:asciiTheme="minorHAnsi" w:hAnsiTheme="minorHAnsi"/>
            <w:sz w:val="22"/>
            <w:szCs w:val="22"/>
          </w:rPr>
          <w:t>PIVOT</w:t>
        </w:r>
      </w:hyperlink>
      <w:r>
        <w:rPr>
          <w:rFonts w:asciiTheme="minorHAnsi" w:hAnsiTheme="minorHAnsi"/>
          <w:sz w:val="22"/>
          <w:szCs w:val="22"/>
        </w:rPr>
        <w:t xml:space="preserve"> </w:t>
      </w:r>
      <w:hyperlink r:id="rId22" w:history="1">
        <w:r w:rsidRPr="00376826">
          <w:rPr>
            <w:rStyle w:val="Hyperlink"/>
            <w:rFonts w:asciiTheme="minorHAnsi" w:hAnsiTheme="minorHAnsi"/>
            <w:sz w:val="22"/>
            <w:szCs w:val="22"/>
          </w:rPr>
          <w:t>NSF.gov</w:t>
        </w:r>
      </w:hyperlink>
    </w:p>
    <w:p w:rsidR="00376826" w:rsidRDefault="00376826" w:rsidP="00A2599C">
      <w:pPr>
        <w:pStyle w:val="PlainText"/>
        <w:pBdr>
          <w:bottom w:val="single" w:sz="6" w:space="1" w:color="auto"/>
        </w:pBdr>
        <w:rPr>
          <w:rFonts w:ascii="Calibri" w:hAnsi="Calibri"/>
          <w:b/>
          <w:sz w:val="20"/>
          <w:szCs w:val="20"/>
          <w:u w:val="single"/>
        </w:rPr>
      </w:pPr>
    </w:p>
    <w:p w:rsidR="00A2599C" w:rsidRDefault="00A2599C" w:rsidP="00A2599C">
      <w:pPr>
        <w:pStyle w:val="PlainText"/>
        <w:rPr>
          <w:rFonts w:ascii="Calibri" w:hAnsi="Calibri"/>
          <w:b/>
          <w:sz w:val="20"/>
          <w:szCs w:val="20"/>
          <w:u w:val="single"/>
        </w:rPr>
      </w:pPr>
    </w:p>
    <w:p w:rsidR="00A2599C" w:rsidRDefault="00A2599C" w:rsidP="00A2599C">
      <w:pPr>
        <w:pStyle w:val="PlainText"/>
        <w:rPr>
          <w:rFonts w:ascii="Calibri" w:hAnsi="Calibri" w:cs="Times New Roman"/>
          <w:b/>
          <w:sz w:val="28"/>
          <w:szCs w:val="28"/>
          <w:u w:val="single"/>
        </w:rPr>
      </w:pPr>
      <w:bookmarkStart w:id="1" w:name="hea"/>
      <w:bookmarkEnd w:id="0"/>
      <w:r>
        <w:rPr>
          <w:rFonts w:ascii="Calibri" w:hAnsi="Calibri" w:cs="Times New Roman"/>
          <w:b/>
          <w:sz w:val="28"/>
          <w:szCs w:val="28"/>
          <w:u w:val="single"/>
        </w:rPr>
        <w:t>Health</w:t>
      </w:r>
    </w:p>
    <w:bookmarkEnd w:id="1"/>
    <w:p w:rsidR="005C3855" w:rsidRPr="005C3855" w:rsidRDefault="005C3855" w:rsidP="00A2599C">
      <w:pPr>
        <w:pStyle w:val="PlainText"/>
        <w:pBdr>
          <w:bottom w:val="single" w:sz="6" w:space="1" w:color="auto"/>
        </w:pBdr>
        <w:rPr>
          <w:rFonts w:asciiTheme="minorHAnsi" w:hAnsiTheme="minorHAnsi"/>
          <w:sz w:val="22"/>
          <w:szCs w:val="22"/>
        </w:rPr>
      </w:pPr>
      <w:r w:rsidRPr="005C3855">
        <w:rPr>
          <w:rFonts w:asciiTheme="minorHAnsi" w:hAnsiTheme="minorHAnsi"/>
          <w:sz w:val="22"/>
          <w:szCs w:val="22"/>
        </w:rPr>
        <w:br/>
      </w:r>
      <w:r w:rsidRPr="005C3855">
        <w:rPr>
          <w:rFonts w:asciiTheme="minorHAnsi" w:hAnsiTheme="minorHAnsi"/>
          <w:b/>
          <w:sz w:val="22"/>
          <w:szCs w:val="22"/>
        </w:rPr>
        <w:t>NIDDK Mentored Research Sci</w:t>
      </w:r>
      <w:r w:rsidRPr="005C3855">
        <w:rPr>
          <w:rFonts w:asciiTheme="minorHAnsi" w:hAnsiTheme="minorHAnsi"/>
          <w:b/>
          <w:sz w:val="22"/>
          <w:szCs w:val="22"/>
        </w:rPr>
        <w:t xml:space="preserve">entist Development Award (K01); </w:t>
      </w:r>
      <w:r w:rsidRPr="005C3855">
        <w:rPr>
          <w:rFonts w:asciiTheme="minorHAnsi" w:hAnsiTheme="minorHAnsi"/>
          <w:b/>
          <w:sz w:val="22"/>
          <w:szCs w:val="22"/>
        </w:rPr>
        <w:t>U.S. Department of Health and Human Services (HHS); National Institutes of Health (NIH); National Institute of Diabetes and Digestive and Kidney Diseases (NIDDK)</w:t>
      </w:r>
      <w:r w:rsidRPr="005C3855">
        <w:rPr>
          <w:rFonts w:asciiTheme="minorHAnsi" w:hAnsiTheme="minorHAnsi"/>
          <w:b/>
          <w:sz w:val="22"/>
          <w:szCs w:val="22"/>
        </w:rPr>
        <w:t>:</w:t>
      </w:r>
      <w:r>
        <w:rPr>
          <w:rFonts w:asciiTheme="minorHAnsi" w:hAnsiTheme="minorHAnsi"/>
          <w:sz w:val="22"/>
          <w:szCs w:val="22"/>
        </w:rPr>
        <w:t xml:space="preserve"> </w:t>
      </w:r>
      <w:r w:rsidRPr="005C3855">
        <w:rPr>
          <w:rFonts w:asciiTheme="minorHAnsi" w:hAnsiTheme="minorHAnsi"/>
          <w:sz w:val="22"/>
          <w:szCs w:val="22"/>
        </w:rPr>
        <w:t>seek</w:t>
      </w:r>
      <w:r>
        <w:rPr>
          <w:rFonts w:asciiTheme="minorHAnsi" w:hAnsiTheme="minorHAnsi"/>
          <w:sz w:val="22"/>
          <w:szCs w:val="22"/>
        </w:rPr>
        <w:t>s</w:t>
      </w:r>
      <w:r w:rsidRPr="005C3855">
        <w:rPr>
          <w:rFonts w:asciiTheme="minorHAnsi" w:hAnsiTheme="minorHAnsi"/>
          <w:sz w:val="22"/>
          <w:szCs w:val="22"/>
        </w:rPr>
        <w:t xml:space="preserve"> applications to provide support and protected time (three, four, or five years) for an intensive, supervised career development experience in the biomedical, behavioral, or clinical sciences lea</w:t>
      </w:r>
      <w:r>
        <w:rPr>
          <w:rFonts w:asciiTheme="minorHAnsi" w:hAnsiTheme="minorHAnsi"/>
          <w:sz w:val="22"/>
          <w:szCs w:val="22"/>
        </w:rPr>
        <w:t xml:space="preserve">ding to research independence. </w:t>
      </w:r>
      <w:r w:rsidRPr="005C3855">
        <w:rPr>
          <w:rFonts w:asciiTheme="minorHAnsi" w:hAnsiTheme="minorHAnsi"/>
          <w:sz w:val="22"/>
          <w:szCs w:val="22"/>
        </w:rPr>
        <w:t xml:space="preserve">Applications are due February 12, June 12, and October 12 annually. </w:t>
      </w:r>
      <w:r>
        <w:rPr>
          <w:rFonts w:asciiTheme="minorHAnsi" w:hAnsiTheme="minorHAnsi"/>
          <w:sz w:val="22"/>
          <w:szCs w:val="22"/>
        </w:rPr>
        <w:t xml:space="preserve">For more information, visit </w:t>
      </w:r>
      <w:hyperlink r:id="rId23" w:history="1">
        <w:r w:rsidRPr="005C3855">
          <w:rPr>
            <w:rStyle w:val="Hyperlink"/>
            <w:rFonts w:asciiTheme="minorHAnsi" w:hAnsiTheme="minorHAnsi"/>
            <w:sz w:val="22"/>
            <w:szCs w:val="22"/>
          </w:rPr>
          <w:t>Solicitation</w:t>
        </w:r>
      </w:hyperlink>
      <w:r w:rsidRPr="005C3855">
        <w:rPr>
          <w:rFonts w:asciiTheme="minorHAnsi" w:hAnsiTheme="minorHAnsi"/>
          <w:sz w:val="22"/>
          <w:szCs w:val="22"/>
        </w:rPr>
        <w:t xml:space="preserve">, </w:t>
      </w:r>
      <w:hyperlink r:id="rId24" w:history="1">
        <w:r w:rsidRPr="005C3855">
          <w:rPr>
            <w:rStyle w:val="Hyperlink"/>
            <w:rFonts w:asciiTheme="minorHAnsi" w:hAnsiTheme="minorHAnsi"/>
            <w:sz w:val="22"/>
            <w:szCs w:val="22"/>
          </w:rPr>
          <w:t>Grants.gov</w:t>
        </w:r>
      </w:hyperlink>
    </w:p>
    <w:p w:rsidR="005C3855" w:rsidRDefault="005C3855" w:rsidP="00A2599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cs="Times New Roman"/>
          <w:sz w:val="20"/>
          <w:szCs w:val="20"/>
        </w:rPr>
      </w:pPr>
    </w:p>
    <w:p w:rsidR="00A2599C" w:rsidRDefault="00A2599C" w:rsidP="00A2599C">
      <w:pPr>
        <w:rPr>
          <w:b/>
          <w:sz w:val="28"/>
          <w:szCs w:val="28"/>
          <w:u w:val="single"/>
        </w:rPr>
      </w:pPr>
      <w:bookmarkStart w:id="2" w:name="hum"/>
      <w:r>
        <w:rPr>
          <w:b/>
          <w:sz w:val="28"/>
          <w:szCs w:val="28"/>
          <w:u w:val="single"/>
        </w:rPr>
        <w:t>Humanities and Language</w:t>
      </w:r>
    </w:p>
    <w:bookmarkEnd w:id="2"/>
    <w:p w:rsidR="00711716" w:rsidRDefault="00711716" w:rsidP="00711716">
      <w:pPr>
        <w:pStyle w:val="PlainText"/>
        <w:rPr>
          <w:rFonts w:ascii="Calibri" w:hAnsi="Calibri"/>
          <w:sz w:val="20"/>
          <w:szCs w:val="20"/>
        </w:rPr>
      </w:pPr>
    </w:p>
    <w:p w:rsidR="00711716" w:rsidRDefault="006174C5" w:rsidP="00711716">
      <w:pPr>
        <w:pStyle w:val="PlainText"/>
        <w:rPr>
          <w:rStyle w:val="Hyperlink"/>
          <w:rFonts w:asciiTheme="minorHAnsi" w:hAnsiTheme="minorHAnsi"/>
          <w:sz w:val="22"/>
          <w:szCs w:val="22"/>
        </w:rPr>
      </w:pPr>
      <w:r>
        <w:rPr>
          <w:rFonts w:asciiTheme="minorHAnsi" w:hAnsiTheme="minorHAnsi"/>
          <w:b/>
          <w:sz w:val="22"/>
          <w:szCs w:val="22"/>
        </w:rPr>
        <w:t xml:space="preserve">Division of Public Programs: </w:t>
      </w:r>
      <w:r w:rsidR="00B81613" w:rsidRPr="00C25DED">
        <w:rPr>
          <w:rFonts w:asciiTheme="minorHAnsi" w:hAnsiTheme="minorHAnsi"/>
          <w:b/>
          <w:sz w:val="22"/>
          <w:szCs w:val="22"/>
        </w:rPr>
        <w:t>Museums, Librar</w:t>
      </w:r>
      <w:r w:rsidR="00B81613">
        <w:rPr>
          <w:rFonts w:asciiTheme="minorHAnsi" w:hAnsiTheme="minorHAnsi"/>
          <w:b/>
        </w:rPr>
        <w:t xml:space="preserve">ies, and Cultural Organizations; </w:t>
      </w:r>
      <w:r w:rsidR="00B81613" w:rsidRPr="00C25DED">
        <w:rPr>
          <w:rFonts w:asciiTheme="minorHAnsi" w:hAnsiTheme="minorHAnsi"/>
          <w:b/>
          <w:sz w:val="22"/>
          <w:szCs w:val="22"/>
        </w:rPr>
        <w:t xml:space="preserve">National Endowment for the Humanities (NEH); </w:t>
      </w:r>
      <w:r w:rsidR="00B81613">
        <w:rPr>
          <w:rFonts w:asciiTheme="minorHAnsi" w:hAnsiTheme="minorHAnsi"/>
        </w:rPr>
        <w:t>seeks</w:t>
      </w:r>
      <w:r w:rsidR="00B81613" w:rsidRPr="00C25DED">
        <w:rPr>
          <w:rFonts w:asciiTheme="minorHAnsi" w:hAnsiTheme="minorHAnsi"/>
          <w:sz w:val="22"/>
          <w:szCs w:val="22"/>
        </w:rPr>
        <w:t xml:space="preserve"> applications to provide support for museums, libraries, historic places, and other organizations that produce public programs in the humanities. Supported formats include: exhibitions at museums, libraries, and other venues; interpretations of historic places, sites, or regions; and book/film discussion programs; living history presentations; and other face-to-face programs at libraries, community centers, and other public venues</w:t>
      </w:r>
      <w:r w:rsidR="00B81613">
        <w:rPr>
          <w:rFonts w:asciiTheme="minorHAnsi" w:hAnsiTheme="minorHAnsi"/>
        </w:rPr>
        <w:t xml:space="preserve">. Planning and implementation grants are available. Proposals are due August 13, 2014. For more information, visit </w:t>
      </w:r>
      <w:hyperlink r:id="rId25" w:history="1">
        <w:r w:rsidR="00B81613" w:rsidRPr="00C25DED">
          <w:rPr>
            <w:rStyle w:val="Hyperlink"/>
            <w:rFonts w:asciiTheme="minorHAnsi" w:hAnsiTheme="minorHAnsi"/>
            <w:sz w:val="22"/>
            <w:szCs w:val="22"/>
          </w:rPr>
          <w:t>Solicitation</w:t>
        </w:r>
      </w:hyperlink>
      <w:r w:rsidR="00B81613" w:rsidRPr="00C25DED">
        <w:rPr>
          <w:rFonts w:asciiTheme="minorHAnsi" w:hAnsiTheme="minorHAnsi"/>
          <w:sz w:val="22"/>
          <w:szCs w:val="22"/>
        </w:rPr>
        <w:t xml:space="preserve">, </w:t>
      </w:r>
      <w:hyperlink r:id="rId26" w:history="1">
        <w:r w:rsidR="00B81613" w:rsidRPr="00C25DED">
          <w:rPr>
            <w:rStyle w:val="Hyperlink"/>
            <w:rFonts w:asciiTheme="minorHAnsi" w:hAnsiTheme="minorHAnsi"/>
            <w:sz w:val="22"/>
            <w:szCs w:val="22"/>
          </w:rPr>
          <w:t>Grants.gov</w:t>
        </w:r>
      </w:hyperlink>
      <w:bookmarkStart w:id="3" w:name="lib"/>
    </w:p>
    <w:p w:rsidR="00711716" w:rsidRPr="00711716" w:rsidRDefault="00711716" w:rsidP="00711716">
      <w:pPr>
        <w:pStyle w:val="PlainText"/>
        <w:rPr>
          <w:rStyle w:val="Hyperlink"/>
          <w:rFonts w:asciiTheme="minorHAnsi" w:hAnsiTheme="minorHAnsi"/>
          <w:sz w:val="20"/>
          <w:szCs w:val="22"/>
        </w:rPr>
      </w:pPr>
    </w:p>
    <w:p w:rsidR="00711716" w:rsidRPr="00711716" w:rsidRDefault="00711716" w:rsidP="00711716">
      <w:pPr>
        <w:pStyle w:val="PlainText"/>
        <w:pBdr>
          <w:top w:val="single" w:sz="6" w:space="1" w:color="auto"/>
          <w:bottom w:val="single" w:sz="6" w:space="1" w:color="auto"/>
        </w:pBdr>
        <w:rPr>
          <w:rStyle w:val="Hyperlink"/>
          <w:rFonts w:asciiTheme="minorHAnsi" w:hAnsiTheme="minorHAnsi"/>
          <w:sz w:val="20"/>
          <w:szCs w:val="22"/>
        </w:rPr>
      </w:pPr>
    </w:p>
    <w:p w:rsidR="00A2599C" w:rsidRDefault="00A2599C" w:rsidP="00A2599C">
      <w:pPr>
        <w:pBdr>
          <w:top w:val="single" w:sz="6" w:space="1" w:color="auto"/>
          <w:bottom w:val="single" w:sz="6" w:space="1" w:color="auto"/>
        </w:pBdr>
        <w:rPr>
          <w:b/>
          <w:sz w:val="28"/>
          <w:szCs w:val="28"/>
          <w:u w:val="single"/>
        </w:rPr>
      </w:pPr>
      <w:r>
        <w:rPr>
          <w:b/>
          <w:sz w:val="28"/>
          <w:szCs w:val="28"/>
          <w:u w:val="single"/>
        </w:rPr>
        <w:t>Library and Museum</w:t>
      </w:r>
    </w:p>
    <w:bookmarkEnd w:id="3"/>
    <w:p w:rsidR="00A2599C" w:rsidRDefault="00A2599C" w:rsidP="00A2599C">
      <w:pPr>
        <w:pBdr>
          <w:top w:val="single" w:sz="6" w:space="1" w:color="auto"/>
          <w:bottom w:val="single" w:sz="6" w:space="1" w:color="auto"/>
        </w:pBdr>
        <w:rPr>
          <w:b/>
          <w:sz w:val="20"/>
          <w:szCs w:val="20"/>
        </w:rPr>
      </w:pPr>
    </w:p>
    <w:p w:rsidR="00A2599C" w:rsidRDefault="006174C5" w:rsidP="00467FC1">
      <w:pPr>
        <w:pBdr>
          <w:top w:val="single" w:sz="6" w:space="1" w:color="auto"/>
          <w:bottom w:val="single" w:sz="6" w:space="1" w:color="auto"/>
        </w:pBdr>
        <w:rPr>
          <w:rFonts w:asciiTheme="minorHAnsi" w:hAnsiTheme="minorHAnsi" w:cs="Arial"/>
        </w:rPr>
      </w:pPr>
      <w:r w:rsidRPr="00C25DED">
        <w:rPr>
          <w:rFonts w:asciiTheme="minorHAnsi" w:hAnsiTheme="minorHAnsi"/>
          <w:b/>
        </w:rPr>
        <w:t>Division of Public Programs</w:t>
      </w:r>
      <w:r>
        <w:rPr>
          <w:rFonts w:asciiTheme="minorHAnsi" w:hAnsiTheme="minorHAnsi"/>
          <w:b/>
        </w:rPr>
        <w:t>:</w:t>
      </w:r>
      <w:r>
        <w:rPr>
          <w:rFonts w:asciiTheme="minorHAnsi" w:hAnsiTheme="minorHAnsi"/>
        </w:rPr>
        <w:t xml:space="preserve"> </w:t>
      </w:r>
      <w:r w:rsidR="00C25DED" w:rsidRPr="00C25DED">
        <w:rPr>
          <w:rFonts w:asciiTheme="minorHAnsi" w:hAnsiTheme="minorHAnsi" w:cs="Arial"/>
          <w:b/>
        </w:rPr>
        <w:t>Museums, Librar</w:t>
      </w:r>
      <w:r w:rsidR="00C25DED">
        <w:rPr>
          <w:rFonts w:asciiTheme="minorHAnsi" w:hAnsiTheme="minorHAnsi" w:cs="Arial"/>
          <w:b/>
        </w:rPr>
        <w:t xml:space="preserve">ies, and Cultural Organizations; </w:t>
      </w:r>
      <w:r w:rsidR="00C25DED" w:rsidRPr="00C25DED">
        <w:rPr>
          <w:rFonts w:asciiTheme="minorHAnsi" w:hAnsiTheme="minorHAnsi" w:cs="Arial"/>
          <w:b/>
        </w:rPr>
        <w:t xml:space="preserve">National Endowment for the Humanities (NEH); </w:t>
      </w:r>
      <w:bookmarkStart w:id="4" w:name="_GoBack"/>
      <w:bookmarkEnd w:id="4"/>
      <w:r w:rsidR="00C25DED">
        <w:rPr>
          <w:rFonts w:asciiTheme="minorHAnsi" w:hAnsiTheme="minorHAnsi" w:cs="Arial"/>
        </w:rPr>
        <w:t>seeks</w:t>
      </w:r>
      <w:r w:rsidR="00C25DED" w:rsidRPr="00C25DED">
        <w:rPr>
          <w:rFonts w:asciiTheme="minorHAnsi" w:hAnsiTheme="minorHAnsi" w:cs="Arial"/>
        </w:rPr>
        <w:t xml:space="preserve"> applications to provide support for museums, libraries, historic places, and other organizations that produce public programs in the humanities. Supported formats include: exhibitions at museums, libraries, and other venues; interpretations of historic places, sites, or regions; and book/film discussion programs; living history presentations; and other face-to-face programs at libraries, community centers, and other public venues</w:t>
      </w:r>
      <w:r w:rsidR="00C25DED">
        <w:rPr>
          <w:rFonts w:asciiTheme="minorHAnsi" w:hAnsiTheme="minorHAnsi" w:cs="Arial"/>
        </w:rPr>
        <w:t xml:space="preserve">. Planning and implementation grants are available. Proposals are due August 13, 2014. For more information, visit </w:t>
      </w:r>
      <w:hyperlink r:id="rId27" w:history="1">
        <w:r w:rsidR="00C25DED" w:rsidRPr="00C25DED">
          <w:rPr>
            <w:rStyle w:val="Hyperlink"/>
            <w:rFonts w:asciiTheme="minorHAnsi" w:hAnsiTheme="minorHAnsi" w:cs="Arial"/>
          </w:rPr>
          <w:t>Solicitation</w:t>
        </w:r>
      </w:hyperlink>
      <w:r w:rsidR="00C25DED" w:rsidRPr="00C25DED">
        <w:rPr>
          <w:rFonts w:asciiTheme="minorHAnsi" w:hAnsiTheme="minorHAnsi" w:cs="Arial"/>
        </w:rPr>
        <w:t xml:space="preserve">, </w:t>
      </w:r>
      <w:hyperlink r:id="rId28" w:history="1">
        <w:r w:rsidR="00C25DED" w:rsidRPr="00C25DED">
          <w:rPr>
            <w:rStyle w:val="Hyperlink"/>
            <w:rFonts w:asciiTheme="minorHAnsi" w:hAnsiTheme="minorHAnsi" w:cs="Arial"/>
          </w:rPr>
          <w:t>Grants.gov</w:t>
        </w:r>
      </w:hyperlink>
      <w:bookmarkStart w:id="5" w:name="mul"/>
    </w:p>
    <w:p w:rsidR="00467FC1" w:rsidRPr="00CC4EC8" w:rsidRDefault="00467FC1" w:rsidP="00467FC1">
      <w:pPr>
        <w:pBdr>
          <w:top w:val="single" w:sz="6" w:space="1" w:color="auto"/>
          <w:bottom w:val="single" w:sz="6" w:space="1" w:color="auto"/>
        </w:pBdr>
        <w:rPr>
          <w:rFonts w:asciiTheme="minorHAnsi" w:hAnsiTheme="minorHAnsi"/>
          <w:b/>
          <w:sz w:val="20"/>
        </w:rPr>
      </w:pPr>
    </w:p>
    <w:bookmarkEnd w:id="5"/>
    <w:p w:rsidR="00A2599C" w:rsidRDefault="00A2599C" w:rsidP="00A2599C">
      <w:pPr>
        <w:rPr>
          <w:sz w:val="20"/>
          <w:szCs w:val="20"/>
          <w:u w:val="single"/>
        </w:rPr>
      </w:pPr>
    </w:p>
    <w:p w:rsidR="009E46A6" w:rsidRDefault="00A2599C" w:rsidP="009E46A6">
      <w:pPr>
        <w:rPr>
          <w:b/>
          <w:sz w:val="28"/>
          <w:szCs w:val="28"/>
          <w:u w:val="single"/>
        </w:rPr>
      </w:pPr>
      <w:bookmarkStart w:id="6" w:name="phy"/>
      <w:r>
        <w:rPr>
          <w:b/>
          <w:sz w:val="28"/>
          <w:szCs w:val="28"/>
          <w:u w:val="single"/>
        </w:rPr>
        <w:t>Physical Sciences and Math</w:t>
      </w:r>
      <w:bookmarkEnd w:id="6"/>
    </w:p>
    <w:p w:rsidR="009E46A6" w:rsidRPr="009E46A6" w:rsidRDefault="009E46A6" w:rsidP="009E46A6">
      <w:pPr>
        <w:rPr>
          <w:b/>
          <w:sz w:val="20"/>
          <w:szCs w:val="28"/>
          <w:u w:val="single"/>
        </w:rPr>
      </w:pPr>
    </w:p>
    <w:p w:rsidR="00A2599C" w:rsidRPr="009E46A6" w:rsidRDefault="009E46A6" w:rsidP="009E46A6">
      <w:pPr>
        <w:rPr>
          <w:b/>
          <w:sz w:val="28"/>
          <w:szCs w:val="28"/>
          <w:u w:val="single"/>
        </w:rPr>
      </w:pPr>
      <w:r w:rsidRPr="009E46A6">
        <w:rPr>
          <w:b/>
          <w:szCs w:val="20"/>
        </w:rPr>
        <w:t>Algebra and Number Theory</w:t>
      </w:r>
      <w:r>
        <w:rPr>
          <w:szCs w:val="20"/>
        </w:rPr>
        <w:t xml:space="preserve">; </w:t>
      </w:r>
      <w:r>
        <w:rPr>
          <w:b/>
          <w:szCs w:val="20"/>
        </w:rPr>
        <w:t xml:space="preserve">National Science Foundation (NSF): </w:t>
      </w:r>
      <w:r w:rsidRPr="009E46A6">
        <w:rPr>
          <w:rFonts w:asciiTheme="minorHAnsi" w:hAnsiTheme="minorHAnsi" w:cs="Arial"/>
        </w:rPr>
        <w:t>supports research in algebra, algebraic and arithmetic geometry, number theory, and representation theory.</w:t>
      </w:r>
      <w:r w:rsidR="009A6B0E">
        <w:rPr>
          <w:rFonts w:asciiTheme="minorHAnsi" w:hAnsiTheme="minorHAnsi" w:cs="Arial"/>
        </w:rPr>
        <w:t xml:space="preserve"> Proposals are due November 7</w:t>
      </w:r>
      <w:r>
        <w:rPr>
          <w:rFonts w:asciiTheme="minorHAnsi" w:hAnsiTheme="minorHAnsi" w:cs="Arial"/>
        </w:rPr>
        <w:t>, 2014. For more information</w:t>
      </w:r>
      <w:r w:rsidR="009A6B0E">
        <w:rPr>
          <w:rFonts w:asciiTheme="minorHAnsi" w:hAnsiTheme="minorHAnsi" w:cs="Arial"/>
        </w:rPr>
        <w:t>,</w:t>
      </w:r>
      <w:r>
        <w:rPr>
          <w:rFonts w:asciiTheme="minorHAnsi" w:hAnsiTheme="minorHAnsi" w:cs="Arial"/>
        </w:rPr>
        <w:t xml:space="preserve"> visit </w:t>
      </w:r>
      <w:hyperlink r:id="rId29" w:history="1">
        <w:r w:rsidRPr="009E46A6">
          <w:rPr>
            <w:rStyle w:val="Hyperlink"/>
            <w:rFonts w:asciiTheme="minorHAnsi" w:hAnsiTheme="minorHAnsi" w:cs="Arial"/>
          </w:rPr>
          <w:t>PIVOT</w:t>
        </w:r>
      </w:hyperlink>
      <w:r>
        <w:rPr>
          <w:rFonts w:asciiTheme="minorHAnsi" w:hAnsiTheme="minorHAnsi" w:cs="Arial"/>
        </w:rPr>
        <w:t xml:space="preserve"> </w:t>
      </w:r>
      <w:hyperlink r:id="rId30" w:history="1">
        <w:r w:rsidRPr="009E46A6">
          <w:rPr>
            <w:rStyle w:val="Hyperlink"/>
            <w:rFonts w:asciiTheme="minorHAnsi" w:hAnsiTheme="minorHAnsi" w:cs="Arial"/>
          </w:rPr>
          <w:t>NSF.gov</w:t>
        </w:r>
      </w:hyperlink>
      <w:r>
        <w:rPr>
          <w:rFonts w:asciiTheme="minorHAnsi" w:hAnsiTheme="minorHAnsi" w:cs="Arial"/>
        </w:rPr>
        <w:t xml:space="preserve"> </w:t>
      </w:r>
    </w:p>
    <w:p w:rsidR="009E46A6" w:rsidRDefault="009E46A6" w:rsidP="00A2599C">
      <w:pPr>
        <w:pStyle w:val="PlainText"/>
        <w:pBdr>
          <w:bottom w:val="single" w:sz="6" w:space="1" w:color="auto"/>
        </w:pBdr>
        <w:rPr>
          <w:rFonts w:ascii="Calibri" w:hAnsi="Calibri"/>
          <w:sz w:val="20"/>
          <w:szCs w:val="20"/>
        </w:rPr>
      </w:pPr>
    </w:p>
    <w:p w:rsidR="00A2599C" w:rsidRDefault="00A2599C" w:rsidP="00A2599C">
      <w:pPr>
        <w:rPr>
          <w:b/>
          <w:sz w:val="20"/>
          <w:szCs w:val="20"/>
          <w:u w:val="single"/>
        </w:rPr>
      </w:pPr>
    </w:p>
    <w:p w:rsidR="009A6B0E" w:rsidRPr="009A6B0E" w:rsidRDefault="009A6B0E" w:rsidP="00A2599C">
      <w:pPr>
        <w:rPr>
          <w:b/>
          <w:szCs w:val="20"/>
        </w:rPr>
      </w:pPr>
      <w:r w:rsidRPr="009A6B0E">
        <w:rPr>
          <w:b/>
          <w:szCs w:val="20"/>
        </w:rPr>
        <w:t>Probability</w:t>
      </w:r>
      <w:r>
        <w:rPr>
          <w:b/>
          <w:szCs w:val="20"/>
        </w:rPr>
        <w:t xml:space="preserve">; National Science Foundation (NSF): </w:t>
      </w:r>
      <w:r>
        <w:rPr>
          <w:rStyle w:val="apple-converted-space"/>
          <w:rFonts w:ascii="Verdana" w:hAnsi="Verdana"/>
          <w:color w:val="324674"/>
          <w:sz w:val="16"/>
          <w:szCs w:val="16"/>
          <w:shd w:val="clear" w:color="auto" w:fill="FFFFFF"/>
        </w:rPr>
        <w:t> </w:t>
      </w:r>
      <w:r w:rsidRPr="009A6B0E">
        <w:rPr>
          <w:rFonts w:asciiTheme="minorHAnsi" w:hAnsiTheme="minorHAnsi" w:cs="Arial"/>
        </w:rPr>
        <w:t>supports research on the theory and applications of probability. Subfields include discrete probability, stochastic processes, limit theory, interacting particle systems, stochastic differential and partial differential equations, and Markov processes. Research in probability which involves applications to other areas of science and engineering is especially encouraged.</w:t>
      </w:r>
      <w:r>
        <w:rPr>
          <w:rFonts w:asciiTheme="minorHAnsi" w:hAnsiTheme="minorHAnsi" w:cs="Arial"/>
        </w:rPr>
        <w:t xml:space="preserve"> Proposals are due November 7, 2014. For more information, visit </w:t>
      </w:r>
      <w:hyperlink r:id="rId31" w:history="1">
        <w:r w:rsidRPr="009A6B0E">
          <w:rPr>
            <w:rStyle w:val="Hyperlink"/>
            <w:rFonts w:asciiTheme="minorHAnsi" w:hAnsiTheme="minorHAnsi" w:cs="Arial"/>
          </w:rPr>
          <w:t>PIVOT</w:t>
        </w:r>
      </w:hyperlink>
      <w:r>
        <w:rPr>
          <w:rFonts w:asciiTheme="minorHAnsi" w:hAnsiTheme="minorHAnsi" w:cs="Arial"/>
        </w:rPr>
        <w:t xml:space="preserve"> </w:t>
      </w:r>
      <w:hyperlink r:id="rId32" w:history="1">
        <w:r w:rsidRPr="009A6B0E">
          <w:rPr>
            <w:rStyle w:val="Hyperlink"/>
            <w:rFonts w:asciiTheme="minorHAnsi" w:hAnsiTheme="minorHAnsi" w:cs="Arial"/>
          </w:rPr>
          <w:t>NSF.gov</w:t>
        </w:r>
      </w:hyperlink>
    </w:p>
    <w:p w:rsidR="009A6B0E" w:rsidRDefault="009A6B0E" w:rsidP="00A2599C">
      <w:pPr>
        <w:pBdr>
          <w:bottom w:val="single" w:sz="6" w:space="1" w:color="auto"/>
        </w:pBdr>
        <w:rPr>
          <w:b/>
          <w:sz w:val="20"/>
          <w:szCs w:val="20"/>
          <w:u w:val="single"/>
        </w:rPr>
      </w:pPr>
    </w:p>
    <w:p w:rsidR="009A6B0E" w:rsidRDefault="009A6B0E" w:rsidP="00A2599C">
      <w:pPr>
        <w:rPr>
          <w:b/>
          <w:sz w:val="20"/>
          <w:szCs w:val="20"/>
          <w:u w:val="single"/>
        </w:rPr>
      </w:pPr>
    </w:p>
    <w:p w:rsidR="00F04CD5" w:rsidRPr="00F04CD5" w:rsidRDefault="00F04CD5" w:rsidP="00A2599C">
      <w:pPr>
        <w:rPr>
          <w:b/>
          <w:szCs w:val="20"/>
        </w:rPr>
      </w:pPr>
      <w:r w:rsidRPr="00F04CD5">
        <w:rPr>
          <w:b/>
          <w:szCs w:val="20"/>
        </w:rPr>
        <w:lastRenderedPageBreak/>
        <w:t>Division of Physics: Investigator-Initiated Research Projects (PHY)</w:t>
      </w:r>
      <w:r>
        <w:rPr>
          <w:b/>
          <w:szCs w:val="20"/>
        </w:rPr>
        <w:t xml:space="preserve">; National Science Foundation (NSF): </w:t>
      </w:r>
      <w:r>
        <w:rPr>
          <w:rFonts w:ascii="Verdana" w:hAnsi="Verdana"/>
          <w:color w:val="324674"/>
          <w:sz w:val="16"/>
          <w:szCs w:val="16"/>
          <w:shd w:val="clear" w:color="auto" w:fill="FFFFFF"/>
        </w:rPr>
        <w:t> </w:t>
      </w:r>
      <w:r w:rsidRPr="00F04CD5">
        <w:rPr>
          <w:rFonts w:asciiTheme="minorHAnsi" w:hAnsiTheme="minorHAnsi" w:cs="Arial"/>
        </w:rPr>
        <w:t>supports physics research and education in the nation’s colleges and universities across a broad range of physics disciplines that span scales of space and time from the largest to the smallest and the oldest to the youngest.</w:t>
      </w:r>
      <w:r>
        <w:rPr>
          <w:rFonts w:asciiTheme="minorHAnsi" w:hAnsiTheme="minorHAnsi" w:cs="Arial"/>
        </w:rPr>
        <w:t xml:space="preserve"> Due date varies by area of research. For more information, visit </w:t>
      </w:r>
      <w:hyperlink r:id="rId33" w:history="1">
        <w:r w:rsidRPr="00F04CD5">
          <w:rPr>
            <w:rStyle w:val="Hyperlink"/>
            <w:rFonts w:asciiTheme="minorHAnsi" w:hAnsiTheme="minorHAnsi" w:cs="Arial"/>
          </w:rPr>
          <w:t>PIVOT</w:t>
        </w:r>
      </w:hyperlink>
      <w:r>
        <w:rPr>
          <w:rFonts w:asciiTheme="minorHAnsi" w:hAnsiTheme="minorHAnsi" w:cs="Arial"/>
        </w:rPr>
        <w:t xml:space="preserve"> </w:t>
      </w:r>
      <w:hyperlink r:id="rId34" w:history="1">
        <w:r w:rsidRPr="00F04CD5">
          <w:rPr>
            <w:rStyle w:val="Hyperlink"/>
            <w:rFonts w:asciiTheme="minorHAnsi" w:hAnsiTheme="minorHAnsi" w:cs="Arial"/>
          </w:rPr>
          <w:t>NSF.gov</w:t>
        </w:r>
      </w:hyperlink>
    </w:p>
    <w:p w:rsidR="00F04CD5" w:rsidRDefault="00F04CD5" w:rsidP="00A2599C">
      <w:pPr>
        <w:pBdr>
          <w:bottom w:val="single" w:sz="6" w:space="1" w:color="auto"/>
        </w:pBdr>
        <w:rPr>
          <w:b/>
          <w:sz w:val="20"/>
          <w:szCs w:val="20"/>
          <w:u w:val="single"/>
        </w:rPr>
      </w:pPr>
    </w:p>
    <w:p w:rsidR="00F04CD5" w:rsidRDefault="00F04CD5" w:rsidP="00A2599C">
      <w:pPr>
        <w:rPr>
          <w:b/>
          <w:sz w:val="20"/>
          <w:szCs w:val="20"/>
          <w:u w:val="single"/>
        </w:rPr>
      </w:pPr>
    </w:p>
    <w:p w:rsidR="008A6600" w:rsidRPr="008A6600" w:rsidRDefault="008A6600" w:rsidP="00A2599C">
      <w:pPr>
        <w:rPr>
          <w:b/>
          <w:sz w:val="20"/>
          <w:szCs w:val="20"/>
          <w:u w:val="single"/>
        </w:rPr>
      </w:pPr>
      <w:proofErr w:type="spellStart"/>
      <w:r w:rsidRPr="008A6600">
        <w:rPr>
          <w:b/>
          <w:szCs w:val="20"/>
        </w:rPr>
        <w:t>Combinatorics</w:t>
      </w:r>
      <w:proofErr w:type="spellEnd"/>
      <w:r>
        <w:rPr>
          <w:szCs w:val="20"/>
        </w:rPr>
        <w:t xml:space="preserve">; </w:t>
      </w:r>
      <w:r>
        <w:rPr>
          <w:b/>
          <w:szCs w:val="20"/>
        </w:rPr>
        <w:t xml:space="preserve">National Science Foundation (NSF): </w:t>
      </w:r>
      <w:r w:rsidRPr="008A6600">
        <w:rPr>
          <w:rFonts w:asciiTheme="minorHAnsi" w:hAnsiTheme="minorHAnsi" w:cs="Arial"/>
        </w:rPr>
        <w:t xml:space="preserve">supports research on discrete structures and includes algebraic, enumerative, existential, </w:t>
      </w:r>
      <w:proofErr w:type="spellStart"/>
      <w:r w:rsidRPr="008A6600">
        <w:rPr>
          <w:rFonts w:asciiTheme="minorHAnsi" w:hAnsiTheme="minorHAnsi" w:cs="Arial"/>
        </w:rPr>
        <w:t>extremal</w:t>
      </w:r>
      <w:proofErr w:type="spellEnd"/>
      <w:r w:rsidRPr="008A6600">
        <w:rPr>
          <w:rFonts w:asciiTheme="minorHAnsi" w:hAnsiTheme="minorHAnsi" w:cs="Arial"/>
        </w:rPr>
        <w:t xml:space="preserve">, geometric, and probabilistic </w:t>
      </w:r>
      <w:proofErr w:type="spellStart"/>
      <w:r w:rsidRPr="008A6600">
        <w:rPr>
          <w:rFonts w:asciiTheme="minorHAnsi" w:hAnsiTheme="minorHAnsi" w:cs="Arial"/>
        </w:rPr>
        <w:t>combinatorics</w:t>
      </w:r>
      <w:proofErr w:type="spellEnd"/>
      <w:r w:rsidRPr="008A6600">
        <w:rPr>
          <w:rFonts w:asciiTheme="minorHAnsi" w:hAnsiTheme="minorHAnsi" w:cs="Arial"/>
        </w:rPr>
        <w:t>, including graph theory.</w:t>
      </w:r>
      <w:r>
        <w:rPr>
          <w:rFonts w:asciiTheme="minorHAnsi" w:hAnsiTheme="minorHAnsi" w:cs="Arial"/>
        </w:rPr>
        <w:t xml:space="preserve"> Proposals are due October 7, 2014. For more information, visit </w:t>
      </w:r>
      <w:hyperlink r:id="rId35" w:history="1">
        <w:r w:rsidRPr="008A6600">
          <w:rPr>
            <w:rStyle w:val="Hyperlink"/>
            <w:rFonts w:asciiTheme="minorHAnsi" w:hAnsiTheme="minorHAnsi" w:cs="Arial"/>
          </w:rPr>
          <w:t>PIVOT</w:t>
        </w:r>
      </w:hyperlink>
      <w:r>
        <w:rPr>
          <w:rFonts w:asciiTheme="minorHAnsi" w:hAnsiTheme="minorHAnsi" w:cs="Arial"/>
        </w:rPr>
        <w:t xml:space="preserve"> </w:t>
      </w:r>
      <w:hyperlink r:id="rId36" w:history="1">
        <w:r w:rsidRPr="008A6600">
          <w:rPr>
            <w:rStyle w:val="Hyperlink"/>
            <w:rFonts w:asciiTheme="minorHAnsi" w:hAnsiTheme="minorHAnsi" w:cs="Arial"/>
          </w:rPr>
          <w:t>NSF.gov</w:t>
        </w:r>
      </w:hyperlink>
    </w:p>
    <w:p w:rsidR="00A2599C" w:rsidRDefault="00A2599C" w:rsidP="00A2599C">
      <w:pPr>
        <w:pBdr>
          <w:bottom w:val="single" w:sz="6" w:space="1" w:color="auto"/>
        </w:pBdr>
        <w:rPr>
          <w:b/>
          <w:sz w:val="20"/>
          <w:szCs w:val="20"/>
          <w:u w:val="single"/>
        </w:rPr>
      </w:pPr>
    </w:p>
    <w:p w:rsidR="00A2599C" w:rsidRPr="00CC4EC8" w:rsidRDefault="00A2599C" w:rsidP="00A2599C">
      <w:pPr>
        <w:pStyle w:val="PlainText"/>
        <w:rPr>
          <w:rFonts w:ascii="Calibri" w:hAnsi="Calibri"/>
          <w:b/>
          <w:sz w:val="20"/>
        </w:rPr>
      </w:pPr>
    </w:p>
    <w:p w:rsidR="00A2599C" w:rsidRDefault="00A2599C" w:rsidP="00A2599C">
      <w:pPr>
        <w:pStyle w:val="PlainText"/>
        <w:rPr>
          <w:rFonts w:ascii="Calibri" w:hAnsi="Calibri"/>
          <w:b/>
          <w:sz w:val="28"/>
          <w:szCs w:val="28"/>
          <w:u w:val="single"/>
        </w:rPr>
      </w:pPr>
      <w:bookmarkStart w:id="7" w:name="soc"/>
      <w:r>
        <w:rPr>
          <w:rFonts w:ascii="Calibri" w:hAnsi="Calibri"/>
          <w:b/>
          <w:sz w:val="28"/>
          <w:szCs w:val="28"/>
          <w:u w:val="single"/>
        </w:rPr>
        <w:t>Social Sciences</w:t>
      </w:r>
    </w:p>
    <w:p w:rsidR="00D1380E" w:rsidRPr="00D1380E" w:rsidRDefault="00D1380E" w:rsidP="00D1380E">
      <w:pPr>
        <w:rPr>
          <w:b/>
          <w:sz w:val="20"/>
          <w:szCs w:val="20"/>
          <w:u w:val="single"/>
        </w:rPr>
      </w:pPr>
    </w:p>
    <w:bookmarkEnd w:id="7"/>
    <w:p w:rsidR="00A2599C" w:rsidRPr="00D1380E" w:rsidRDefault="00D1380E" w:rsidP="00D1380E">
      <w:pPr>
        <w:rPr>
          <w:rFonts w:asciiTheme="minorHAnsi" w:hAnsiTheme="minorHAnsi" w:cs="Arial"/>
        </w:rPr>
      </w:pPr>
      <w:r w:rsidRPr="00D1380E">
        <w:rPr>
          <w:b/>
          <w:szCs w:val="20"/>
        </w:rPr>
        <w:t>Studies on Ethnic Disparities in Juvenile Justice</w:t>
      </w:r>
      <w:r>
        <w:rPr>
          <w:b/>
          <w:szCs w:val="20"/>
        </w:rPr>
        <w:t xml:space="preserve">; U.S. Department of Justice: </w:t>
      </w:r>
      <w:r w:rsidRPr="00D1380E">
        <w:rPr>
          <w:rFonts w:asciiTheme="minorHAnsi" w:hAnsiTheme="minorHAnsi" w:cs="Arial"/>
        </w:rPr>
        <w:t xml:space="preserve">original research and/or secondary </w:t>
      </w:r>
      <w:r>
        <w:rPr>
          <w:rFonts w:asciiTheme="minorHAnsi" w:hAnsiTheme="minorHAnsi" w:cs="Arial"/>
        </w:rPr>
        <w:t xml:space="preserve">analysis of existing data that </w:t>
      </w:r>
      <w:r w:rsidRPr="00D1380E">
        <w:rPr>
          <w:rFonts w:asciiTheme="minorHAnsi" w:hAnsiTheme="minorHAnsi" w:cs="Arial"/>
        </w:rPr>
        <w:t>focuses on the impact of Hispanic/Latino ethnicity at various p</w:t>
      </w:r>
      <w:r>
        <w:rPr>
          <w:rFonts w:asciiTheme="minorHAnsi" w:hAnsiTheme="minorHAnsi" w:cs="Arial"/>
        </w:rPr>
        <w:t xml:space="preserve">oints of intersection with the </w:t>
      </w:r>
      <w:r w:rsidRPr="00D1380E">
        <w:rPr>
          <w:rFonts w:asciiTheme="minorHAnsi" w:hAnsiTheme="minorHAnsi" w:cs="Arial"/>
        </w:rPr>
        <w:t xml:space="preserve">juvenile justice system. Proposals should include an explanation </w:t>
      </w:r>
      <w:r>
        <w:rPr>
          <w:rFonts w:asciiTheme="minorHAnsi" w:hAnsiTheme="minorHAnsi" w:cs="Arial"/>
        </w:rPr>
        <w:t xml:space="preserve">of how the proposed study will </w:t>
      </w:r>
      <w:r w:rsidRPr="00D1380E">
        <w:rPr>
          <w:rFonts w:asciiTheme="minorHAnsi" w:hAnsiTheme="minorHAnsi" w:cs="Arial"/>
        </w:rPr>
        <w:t xml:space="preserve">increase understanding of ethnic disparities involving the </w:t>
      </w:r>
      <w:r>
        <w:rPr>
          <w:rFonts w:asciiTheme="minorHAnsi" w:hAnsiTheme="minorHAnsi" w:cs="Arial"/>
        </w:rPr>
        <w:t xml:space="preserve">Hispanic/Latino population and </w:t>
      </w:r>
      <w:r w:rsidRPr="00D1380E">
        <w:rPr>
          <w:rFonts w:asciiTheme="minorHAnsi" w:hAnsiTheme="minorHAnsi" w:cs="Arial"/>
        </w:rPr>
        <w:t>advance the ju</w:t>
      </w:r>
      <w:r>
        <w:rPr>
          <w:rFonts w:asciiTheme="minorHAnsi" w:hAnsiTheme="minorHAnsi" w:cs="Arial"/>
        </w:rPr>
        <w:t xml:space="preserve">venile justice research field.  Proposals are due July 21, 2014. For more information, visit </w:t>
      </w:r>
      <w:hyperlink r:id="rId37" w:history="1">
        <w:r w:rsidRPr="00D1380E">
          <w:rPr>
            <w:rStyle w:val="Hyperlink"/>
            <w:rFonts w:asciiTheme="minorHAnsi" w:hAnsiTheme="minorHAnsi" w:cs="Arial"/>
          </w:rPr>
          <w:t>OJJDP.gov</w:t>
        </w:r>
      </w:hyperlink>
    </w:p>
    <w:p w:rsidR="00A2599C" w:rsidRPr="00CC4EC8" w:rsidRDefault="00A2599C" w:rsidP="00A2599C">
      <w:pPr>
        <w:pStyle w:val="PlainText"/>
        <w:pBdr>
          <w:bottom w:val="single" w:sz="6" w:space="1" w:color="auto"/>
        </w:pBdr>
        <w:rPr>
          <w:rFonts w:asciiTheme="minorHAnsi" w:hAnsiTheme="minorHAnsi"/>
          <w:sz w:val="20"/>
        </w:rPr>
      </w:pPr>
    </w:p>
    <w:p w:rsidR="00A2599C" w:rsidRDefault="00A2599C" w:rsidP="00A2599C">
      <w:pPr>
        <w:pStyle w:val="PlainText"/>
        <w:rPr>
          <w:rFonts w:asciiTheme="minorHAnsi" w:hAnsiTheme="minorHAnsi"/>
        </w:rPr>
      </w:pPr>
    </w:p>
    <w:p w:rsidR="00A2599C" w:rsidRDefault="00A2599C"/>
    <w:sectPr w:rsidR="00A2599C" w:rsidSect="00D94779">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F"/>
    <w:rsid w:val="00043D76"/>
    <w:rsid w:val="00045B0A"/>
    <w:rsid w:val="000749F1"/>
    <w:rsid w:val="000A16D5"/>
    <w:rsid w:val="000B681D"/>
    <w:rsid w:val="000C332E"/>
    <w:rsid w:val="000E4D89"/>
    <w:rsid w:val="0012574C"/>
    <w:rsid w:val="00131CD8"/>
    <w:rsid w:val="00153B18"/>
    <w:rsid w:val="001755A8"/>
    <w:rsid w:val="001E276B"/>
    <w:rsid w:val="00201C05"/>
    <w:rsid w:val="0022569E"/>
    <w:rsid w:val="002374DC"/>
    <w:rsid w:val="00251DDC"/>
    <w:rsid w:val="002719E0"/>
    <w:rsid w:val="00272841"/>
    <w:rsid w:val="002921F2"/>
    <w:rsid w:val="002B2297"/>
    <w:rsid w:val="002C5411"/>
    <w:rsid w:val="002D643B"/>
    <w:rsid w:val="002F5AF8"/>
    <w:rsid w:val="00325C19"/>
    <w:rsid w:val="00333646"/>
    <w:rsid w:val="0033771D"/>
    <w:rsid w:val="00343C66"/>
    <w:rsid w:val="00347E61"/>
    <w:rsid w:val="00376826"/>
    <w:rsid w:val="00380420"/>
    <w:rsid w:val="0038137B"/>
    <w:rsid w:val="00396D3F"/>
    <w:rsid w:val="003A3C17"/>
    <w:rsid w:val="003B3710"/>
    <w:rsid w:val="003D6E5B"/>
    <w:rsid w:val="00467FC1"/>
    <w:rsid w:val="00473D16"/>
    <w:rsid w:val="005017B9"/>
    <w:rsid w:val="005206A0"/>
    <w:rsid w:val="0053075E"/>
    <w:rsid w:val="00537268"/>
    <w:rsid w:val="005412AE"/>
    <w:rsid w:val="0054634C"/>
    <w:rsid w:val="005634B4"/>
    <w:rsid w:val="00570B36"/>
    <w:rsid w:val="00581BA4"/>
    <w:rsid w:val="005A0547"/>
    <w:rsid w:val="005A6A94"/>
    <w:rsid w:val="005C3855"/>
    <w:rsid w:val="006174C5"/>
    <w:rsid w:val="00624328"/>
    <w:rsid w:val="0063723B"/>
    <w:rsid w:val="00640C1D"/>
    <w:rsid w:val="00653B41"/>
    <w:rsid w:val="0065438A"/>
    <w:rsid w:val="00665D41"/>
    <w:rsid w:val="0068637E"/>
    <w:rsid w:val="00686B2F"/>
    <w:rsid w:val="006925FF"/>
    <w:rsid w:val="00696118"/>
    <w:rsid w:val="006C597A"/>
    <w:rsid w:val="00711716"/>
    <w:rsid w:val="00722FF3"/>
    <w:rsid w:val="00727749"/>
    <w:rsid w:val="00733ABB"/>
    <w:rsid w:val="00734776"/>
    <w:rsid w:val="00764124"/>
    <w:rsid w:val="0077287C"/>
    <w:rsid w:val="00782340"/>
    <w:rsid w:val="00784959"/>
    <w:rsid w:val="007928BD"/>
    <w:rsid w:val="007A3722"/>
    <w:rsid w:val="007C3044"/>
    <w:rsid w:val="007C6C38"/>
    <w:rsid w:val="007F1760"/>
    <w:rsid w:val="007F2795"/>
    <w:rsid w:val="007F6512"/>
    <w:rsid w:val="00835B36"/>
    <w:rsid w:val="008457C0"/>
    <w:rsid w:val="0087225B"/>
    <w:rsid w:val="00876AA8"/>
    <w:rsid w:val="00885AEE"/>
    <w:rsid w:val="008A0830"/>
    <w:rsid w:val="008A6600"/>
    <w:rsid w:val="00901C3B"/>
    <w:rsid w:val="00904E20"/>
    <w:rsid w:val="00904F5E"/>
    <w:rsid w:val="00923A02"/>
    <w:rsid w:val="00934DA4"/>
    <w:rsid w:val="00936845"/>
    <w:rsid w:val="00963503"/>
    <w:rsid w:val="00975018"/>
    <w:rsid w:val="009753E2"/>
    <w:rsid w:val="00975F35"/>
    <w:rsid w:val="00982B60"/>
    <w:rsid w:val="009A3BB4"/>
    <w:rsid w:val="009A6B0E"/>
    <w:rsid w:val="009A7086"/>
    <w:rsid w:val="009D303C"/>
    <w:rsid w:val="009E46A6"/>
    <w:rsid w:val="009E65B2"/>
    <w:rsid w:val="009F0B2B"/>
    <w:rsid w:val="00A03F06"/>
    <w:rsid w:val="00A2599C"/>
    <w:rsid w:val="00A40614"/>
    <w:rsid w:val="00A527E5"/>
    <w:rsid w:val="00A83CD6"/>
    <w:rsid w:val="00A86266"/>
    <w:rsid w:val="00A95FC3"/>
    <w:rsid w:val="00AC0EB6"/>
    <w:rsid w:val="00AC3DEF"/>
    <w:rsid w:val="00B27287"/>
    <w:rsid w:val="00B47212"/>
    <w:rsid w:val="00B81613"/>
    <w:rsid w:val="00B94599"/>
    <w:rsid w:val="00BA2E39"/>
    <w:rsid w:val="00BA6317"/>
    <w:rsid w:val="00BF231E"/>
    <w:rsid w:val="00C00FC2"/>
    <w:rsid w:val="00C104DE"/>
    <w:rsid w:val="00C14E48"/>
    <w:rsid w:val="00C22092"/>
    <w:rsid w:val="00C25DED"/>
    <w:rsid w:val="00C30CF1"/>
    <w:rsid w:val="00C34C35"/>
    <w:rsid w:val="00C35ADD"/>
    <w:rsid w:val="00C4184E"/>
    <w:rsid w:val="00C86CBC"/>
    <w:rsid w:val="00CB40CA"/>
    <w:rsid w:val="00CC4EC8"/>
    <w:rsid w:val="00D006F3"/>
    <w:rsid w:val="00D064FA"/>
    <w:rsid w:val="00D1380E"/>
    <w:rsid w:val="00D13DDB"/>
    <w:rsid w:val="00D41D25"/>
    <w:rsid w:val="00D61AEC"/>
    <w:rsid w:val="00D65A6C"/>
    <w:rsid w:val="00D70414"/>
    <w:rsid w:val="00D80A39"/>
    <w:rsid w:val="00D94779"/>
    <w:rsid w:val="00DA0463"/>
    <w:rsid w:val="00DA53CC"/>
    <w:rsid w:val="00DA5EBF"/>
    <w:rsid w:val="00DB754D"/>
    <w:rsid w:val="00DE5A93"/>
    <w:rsid w:val="00DF22F2"/>
    <w:rsid w:val="00DF4082"/>
    <w:rsid w:val="00E00E6E"/>
    <w:rsid w:val="00E043E2"/>
    <w:rsid w:val="00E1188E"/>
    <w:rsid w:val="00E127B9"/>
    <w:rsid w:val="00E46C84"/>
    <w:rsid w:val="00E5503D"/>
    <w:rsid w:val="00EC2EA7"/>
    <w:rsid w:val="00EF053B"/>
    <w:rsid w:val="00F04CD5"/>
    <w:rsid w:val="00F62A99"/>
    <w:rsid w:val="00F710D2"/>
    <w:rsid w:val="00F815D4"/>
    <w:rsid w:val="00F8688B"/>
    <w:rsid w:val="00FA63BC"/>
    <w:rsid w:val="00FB191E"/>
    <w:rsid w:val="00FB2527"/>
    <w:rsid w:val="00FD7ED6"/>
    <w:rsid w:val="00FE1670"/>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rsid w:val="00A2599C"/>
    <w:rPr>
      <w:rFonts w:ascii="Consolas" w:eastAsia="Calibri" w:hAnsi="Consolas"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rsid w:val="00A2599C"/>
    <w:rPr>
      <w:rFonts w:ascii="Consolas" w:eastAsia="Calibri"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17560">
      <w:bodyDiv w:val="1"/>
      <w:marLeft w:val="0"/>
      <w:marRight w:val="0"/>
      <w:marTop w:val="0"/>
      <w:marBottom w:val="0"/>
      <w:divBdr>
        <w:top w:val="none" w:sz="0" w:space="0" w:color="auto"/>
        <w:left w:val="none" w:sz="0" w:space="0" w:color="auto"/>
        <w:bottom w:val="none" w:sz="0" w:space="0" w:color="auto"/>
        <w:right w:val="none" w:sz="0" w:space="0" w:color="auto"/>
      </w:divBdr>
    </w:div>
    <w:div w:id="852301566">
      <w:bodyDiv w:val="1"/>
      <w:marLeft w:val="0"/>
      <w:marRight w:val="0"/>
      <w:marTop w:val="0"/>
      <w:marBottom w:val="0"/>
      <w:divBdr>
        <w:top w:val="none" w:sz="0" w:space="0" w:color="auto"/>
        <w:left w:val="none" w:sz="0" w:space="0" w:color="auto"/>
        <w:bottom w:val="none" w:sz="0" w:space="0" w:color="auto"/>
        <w:right w:val="none" w:sz="0" w:space="0" w:color="auto"/>
      </w:divBdr>
    </w:div>
    <w:div w:id="11261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unj.edu/osp" TargetMode="External"/><Relationship Id="rId13" Type="http://schemas.openxmlformats.org/officeDocument/2006/relationships/hyperlink" Target="http://www.aascu.org/grc/" TargetMode="External"/><Relationship Id="rId18" Type="http://schemas.openxmlformats.org/officeDocument/2006/relationships/hyperlink" Target="http://www.wpunj.edu/osp/preparing-proposals.dot" TargetMode="External"/><Relationship Id="rId26" Type="http://schemas.openxmlformats.org/officeDocument/2006/relationships/hyperlink" Target="http://www.mmsend65.com/link.cfm?r=1272232034&amp;sid=43048224&amp;m=4911199&amp;u=AASCU&amp;j=19501199&amp;s=http://www.grants.gov/view-opportunity.html?oppId=25763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ivot.cos.com/funding_opps/101839" TargetMode="External"/><Relationship Id="rId34" Type="http://schemas.openxmlformats.org/officeDocument/2006/relationships/hyperlink" Target="http://www.nsf.gov/funding/pgm_summ.jsp?pims_id=505058" TargetMode="External"/><Relationship Id="rId7" Type="http://schemas.openxmlformats.org/officeDocument/2006/relationships/hyperlink" Target="mailto:grants@wpunj.edu" TargetMode="External"/><Relationship Id="rId12" Type="http://schemas.openxmlformats.org/officeDocument/2006/relationships/hyperlink" Target="http://www.grants.gov/web/grants/home.html" TargetMode="External"/><Relationship Id="rId17" Type="http://schemas.openxmlformats.org/officeDocument/2006/relationships/hyperlink" Target="http://www.wpunj.edu/osp/irb/index.dot" TargetMode="External"/><Relationship Id="rId25" Type="http://schemas.openxmlformats.org/officeDocument/2006/relationships/hyperlink" Target="http://www.mmsend65.com/link.cfm?r=1272232034&amp;sid=43048223&amp;m=4911199&amp;u=AASCU&amp;j=19501199&amp;s=http://www.neh.gov/grants/mlco" TargetMode="External"/><Relationship Id="rId33" Type="http://schemas.openxmlformats.org/officeDocument/2006/relationships/hyperlink" Target="http://pivot.cos.com/funding_opps/15321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punj.edu/osp/workshops.dot" TargetMode="External"/><Relationship Id="rId20" Type="http://schemas.openxmlformats.org/officeDocument/2006/relationships/hyperlink" Target="http://www.wpunj.edu/osp/recent-awards.dot" TargetMode="External"/><Relationship Id="rId29" Type="http://schemas.openxmlformats.org/officeDocument/2006/relationships/hyperlink" Target="http://pivot.cos.com/funding_opps/1160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ascu.org/grc/gs/" TargetMode="External"/><Relationship Id="rId24" Type="http://schemas.openxmlformats.org/officeDocument/2006/relationships/hyperlink" Target="http://www.grants.gov/web/grants/view-opportunity.html?oppId=258525" TargetMode="External"/><Relationship Id="rId32" Type="http://schemas.openxmlformats.org/officeDocument/2006/relationships/hyperlink" Target="http://www.nsf.gov/funding/pgm_summ.jsp?pims_id=5555" TargetMode="External"/><Relationship Id="rId37" Type="http://schemas.openxmlformats.org/officeDocument/2006/relationships/hyperlink" Target="http://www.ojjdp.gov/grants/solicitations/FY2014/StudiesProgram.pdf" TargetMode="External"/><Relationship Id="rId5" Type="http://schemas.openxmlformats.org/officeDocument/2006/relationships/webSettings" Target="webSettings.xml"/><Relationship Id="rId15" Type="http://schemas.openxmlformats.org/officeDocument/2006/relationships/hyperlink" Target="http://www.wpunj.edu/osp/dui/index.dot" TargetMode="External"/><Relationship Id="rId23" Type="http://schemas.openxmlformats.org/officeDocument/2006/relationships/hyperlink" Target="http://grants.nih.gov/grants/guide/pa-files/PAR-14-266.html" TargetMode="External"/><Relationship Id="rId28" Type="http://schemas.openxmlformats.org/officeDocument/2006/relationships/hyperlink" Target="http://www.mmsend65.com/link.cfm?r=1272232034&amp;sid=43048224&amp;m=4911199&amp;u=AASCU&amp;j=19501199&amp;s=http://www.grants.gov/view-opportunity.html?oppId=257630" TargetMode="External"/><Relationship Id="rId36" Type="http://schemas.openxmlformats.org/officeDocument/2006/relationships/hyperlink" Target="http://www.nsf.gov/funding/pgm_summ.jsp?pims_id=503570" TargetMode="External"/><Relationship Id="rId10" Type="http://schemas.openxmlformats.org/officeDocument/2006/relationships/hyperlink" Target="http://pivot.cos.com/funding_main" TargetMode="External"/><Relationship Id="rId19" Type="http://schemas.openxmlformats.org/officeDocument/2006/relationships/hyperlink" Target="http://www.wpunj.edu/osp/narratives-and-budgets.dot" TargetMode="External"/><Relationship Id="rId31" Type="http://schemas.openxmlformats.org/officeDocument/2006/relationships/hyperlink" Target="http://pivot.cos.com/funding_opps/8534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wpunj.edu/osp/funding-opportunities/index.dot" TargetMode="External"/><Relationship Id="rId22" Type="http://schemas.openxmlformats.org/officeDocument/2006/relationships/hyperlink" Target="http://www.nsf.gov/funding/pgm_summ.jsp?pims_id=500047" TargetMode="External"/><Relationship Id="rId27" Type="http://schemas.openxmlformats.org/officeDocument/2006/relationships/hyperlink" Target="http://www.mmsend65.com/link.cfm?r=1272232034&amp;sid=43048223&amp;m=4911199&amp;u=AASCU&amp;j=19501199&amp;s=http://www.neh.gov/grants/mlco" TargetMode="External"/><Relationship Id="rId30" Type="http://schemas.openxmlformats.org/officeDocument/2006/relationships/hyperlink" Target="http://www.nsf.gov/funding/pgm_summ.jsp?pims_id=5431" TargetMode="External"/><Relationship Id="rId35" Type="http://schemas.openxmlformats.org/officeDocument/2006/relationships/hyperlink" Target="http://pivot.cos.com/funding_opps/126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BBAC-5AD2-4907-B1AC-9BF1CB20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WPUNJ</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38</cp:revision>
  <dcterms:created xsi:type="dcterms:W3CDTF">2014-06-17T16:12:00Z</dcterms:created>
  <dcterms:modified xsi:type="dcterms:W3CDTF">2014-06-30T17:13:00Z</dcterms:modified>
</cp:coreProperties>
</file>